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F9C" w:rsidRDefault="00B739B9" w:rsidP="00EF3F28">
      <w:pPr>
        <w:spacing w:line="360" w:lineRule="auto"/>
        <w:jc w:val="center"/>
        <w:rPr>
          <w:rFonts w:asciiTheme="minorHAnsi" w:hAnsiTheme="minorHAnsi" w:cstheme="minorHAnsi"/>
          <w:b/>
          <w:sz w:val="28"/>
          <w:szCs w:val="28"/>
        </w:rPr>
      </w:pPr>
      <w:r w:rsidRPr="00C47ABC">
        <w:rPr>
          <w:rFonts w:asciiTheme="minorHAnsi" w:hAnsiTheme="minorHAnsi" w:cstheme="minorHAnsi"/>
          <w:b/>
          <w:sz w:val="28"/>
          <w:szCs w:val="28"/>
        </w:rPr>
        <w:t>THE INFLUENCE OF READING HABIT TOWARD VOCABULARY MASTERY AT THE SECOND SEMESTER STUDENTS OF MUHAMMADIYAH UNIVERSITY OF PURWOREJO IN THE</w:t>
      </w:r>
      <w:r w:rsidR="00840230">
        <w:rPr>
          <w:rFonts w:asciiTheme="minorHAnsi" w:hAnsiTheme="minorHAnsi" w:cstheme="minorHAnsi"/>
          <w:b/>
          <w:sz w:val="28"/>
          <w:szCs w:val="28"/>
        </w:rPr>
        <w:t xml:space="preserve"> </w:t>
      </w:r>
      <w:r w:rsidRPr="00C47ABC">
        <w:rPr>
          <w:rFonts w:asciiTheme="minorHAnsi" w:hAnsiTheme="minorHAnsi" w:cstheme="minorHAnsi"/>
          <w:b/>
          <w:sz w:val="28"/>
          <w:szCs w:val="28"/>
        </w:rPr>
        <w:t>ACADEMIC YEAR 2012/2013</w:t>
      </w:r>
    </w:p>
    <w:p w:rsidR="00840230" w:rsidRPr="00840230" w:rsidRDefault="00840230" w:rsidP="00840230">
      <w:pPr>
        <w:spacing w:line="360" w:lineRule="auto"/>
        <w:rPr>
          <w:rFonts w:asciiTheme="minorHAnsi" w:hAnsiTheme="minorHAnsi" w:cstheme="minorHAnsi"/>
          <w:b/>
          <w:sz w:val="28"/>
          <w:szCs w:val="28"/>
        </w:rPr>
      </w:pPr>
    </w:p>
    <w:p w:rsidR="00B739B9" w:rsidRPr="00840230" w:rsidRDefault="00B739B9" w:rsidP="00980987">
      <w:pPr>
        <w:spacing w:line="360" w:lineRule="auto"/>
        <w:jc w:val="center"/>
        <w:rPr>
          <w:rFonts w:asciiTheme="minorHAnsi" w:hAnsiTheme="minorHAnsi" w:cstheme="minorHAnsi"/>
        </w:rPr>
      </w:pPr>
      <w:r w:rsidRPr="00840230">
        <w:rPr>
          <w:rFonts w:asciiTheme="minorHAnsi" w:hAnsiTheme="minorHAnsi" w:cstheme="minorHAnsi"/>
        </w:rPr>
        <w:t>By</w:t>
      </w:r>
    </w:p>
    <w:p w:rsidR="00B739B9" w:rsidRPr="00840230" w:rsidRDefault="00B739B9" w:rsidP="00980987">
      <w:pPr>
        <w:spacing w:line="360" w:lineRule="auto"/>
        <w:jc w:val="center"/>
        <w:rPr>
          <w:rFonts w:asciiTheme="minorHAnsi" w:hAnsiTheme="minorHAnsi" w:cstheme="minorHAnsi"/>
        </w:rPr>
      </w:pPr>
      <w:r w:rsidRPr="00840230">
        <w:rPr>
          <w:rFonts w:asciiTheme="minorHAnsi" w:hAnsiTheme="minorHAnsi" w:cstheme="minorHAnsi"/>
        </w:rPr>
        <w:t>Farisiyati</w:t>
      </w:r>
    </w:p>
    <w:p w:rsidR="00B739B9" w:rsidRPr="00840230" w:rsidRDefault="00B739B9" w:rsidP="00980987">
      <w:pPr>
        <w:spacing w:line="360" w:lineRule="auto"/>
        <w:jc w:val="center"/>
        <w:rPr>
          <w:rFonts w:asciiTheme="minorHAnsi" w:hAnsiTheme="minorHAnsi" w:cstheme="minorHAnsi"/>
          <w:sz w:val="22"/>
          <w:szCs w:val="22"/>
        </w:rPr>
      </w:pPr>
      <w:r w:rsidRPr="00840230">
        <w:rPr>
          <w:rFonts w:asciiTheme="minorHAnsi" w:hAnsiTheme="minorHAnsi" w:cstheme="minorHAnsi"/>
          <w:sz w:val="22"/>
          <w:szCs w:val="22"/>
        </w:rPr>
        <w:t>English Department Faculty of Teacher Training and Education Sciences</w:t>
      </w:r>
    </w:p>
    <w:p w:rsidR="00B739B9" w:rsidRPr="00840230" w:rsidRDefault="00B739B9" w:rsidP="00980987">
      <w:pPr>
        <w:spacing w:line="360" w:lineRule="auto"/>
        <w:jc w:val="center"/>
        <w:rPr>
          <w:rFonts w:asciiTheme="minorHAnsi" w:hAnsiTheme="minorHAnsi" w:cstheme="minorHAnsi"/>
          <w:sz w:val="22"/>
          <w:szCs w:val="22"/>
        </w:rPr>
      </w:pPr>
      <w:r w:rsidRPr="00840230">
        <w:rPr>
          <w:rFonts w:asciiTheme="minorHAnsi" w:hAnsiTheme="minorHAnsi" w:cstheme="minorHAnsi"/>
          <w:sz w:val="22"/>
          <w:szCs w:val="22"/>
        </w:rPr>
        <w:t>E-mail:</w:t>
      </w:r>
      <w:r w:rsidRPr="00840230">
        <w:rPr>
          <w:rFonts w:asciiTheme="minorHAnsi" w:hAnsiTheme="minorHAnsi" w:cstheme="minorHAnsi"/>
          <w:color w:val="000000" w:themeColor="text1"/>
          <w:sz w:val="22"/>
          <w:szCs w:val="22"/>
        </w:rPr>
        <w:t xml:space="preserve"> </w:t>
      </w:r>
      <w:hyperlink r:id="rId5" w:history="1">
        <w:r w:rsidRPr="00840230">
          <w:rPr>
            <w:rStyle w:val="Hyperlink"/>
            <w:rFonts w:asciiTheme="minorHAnsi" w:hAnsiTheme="minorHAnsi" w:cstheme="minorHAnsi"/>
            <w:color w:val="auto"/>
            <w:sz w:val="22"/>
            <w:szCs w:val="22"/>
          </w:rPr>
          <w:t>farisiyati@yahoo.com</w:t>
        </w:r>
      </w:hyperlink>
    </w:p>
    <w:p w:rsidR="00B739B9" w:rsidRPr="00C47ABC" w:rsidRDefault="00B739B9" w:rsidP="00102172">
      <w:pPr>
        <w:spacing w:line="360" w:lineRule="auto"/>
        <w:jc w:val="center"/>
        <w:rPr>
          <w:rFonts w:asciiTheme="minorHAnsi" w:hAnsiTheme="minorHAnsi" w:cstheme="minorHAnsi"/>
          <w:b/>
          <w:color w:val="000000" w:themeColor="text1"/>
        </w:rPr>
      </w:pPr>
    </w:p>
    <w:p w:rsidR="00B739B9" w:rsidRPr="00C47ABC" w:rsidRDefault="00B739B9" w:rsidP="00840230">
      <w:pPr>
        <w:spacing w:line="360" w:lineRule="auto"/>
        <w:jc w:val="center"/>
        <w:rPr>
          <w:rFonts w:asciiTheme="minorHAnsi" w:hAnsiTheme="minorHAnsi" w:cstheme="minorHAnsi"/>
          <w:b/>
          <w:color w:val="000000" w:themeColor="text1"/>
        </w:rPr>
      </w:pPr>
      <w:r w:rsidRPr="00C47ABC">
        <w:rPr>
          <w:rFonts w:asciiTheme="minorHAnsi" w:hAnsiTheme="minorHAnsi" w:cstheme="minorHAnsi"/>
          <w:b/>
          <w:color w:val="000000" w:themeColor="text1"/>
        </w:rPr>
        <w:t>Abstract</w:t>
      </w:r>
    </w:p>
    <w:p w:rsidR="00B739B9" w:rsidRPr="00C47ABC" w:rsidRDefault="00B739B9" w:rsidP="00337612">
      <w:pPr>
        <w:ind w:firstLine="680"/>
        <w:jc w:val="both"/>
        <w:rPr>
          <w:rFonts w:asciiTheme="minorHAnsi" w:eastAsiaTheme="minorEastAsia" w:hAnsiTheme="minorHAnsi" w:cstheme="minorHAnsi"/>
          <w:sz w:val="22"/>
          <w:szCs w:val="22"/>
        </w:rPr>
      </w:pPr>
      <w:r w:rsidRPr="00C47ABC">
        <w:rPr>
          <w:rFonts w:asciiTheme="minorHAnsi" w:hAnsiTheme="minorHAnsi" w:cstheme="minorHAnsi"/>
          <w:color w:val="000000" w:themeColor="text1"/>
          <w:sz w:val="22"/>
          <w:szCs w:val="22"/>
        </w:rPr>
        <w:t xml:space="preserve">This study is descriptive quantitative research. The aim of this research is to </w:t>
      </w:r>
      <w:r w:rsidRPr="00C47ABC">
        <w:rPr>
          <w:rFonts w:asciiTheme="minorHAnsi" w:hAnsiTheme="minorHAnsi" w:cstheme="minorHAnsi"/>
          <w:sz w:val="22"/>
          <w:szCs w:val="22"/>
          <w:lang w:val="id-ID"/>
        </w:rPr>
        <w:t>find</w:t>
      </w:r>
      <w:r w:rsidRPr="00C47ABC">
        <w:rPr>
          <w:rFonts w:asciiTheme="minorHAnsi" w:hAnsiTheme="minorHAnsi" w:cstheme="minorHAnsi"/>
          <w:sz w:val="22"/>
          <w:szCs w:val="22"/>
          <w:lang w:val="en-GB"/>
        </w:rPr>
        <w:t xml:space="preserve"> out whether there is </w:t>
      </w:r>
      <w:r w:rsidRPr="00C47ABC">
        <w:rPr>
          <w:rFonts w:asciiTheme="minorHAnsi" w:hAnsiTheme="minorHAnsi" w:cstheme="minorHAnsi"/>
          <w:sz w:val="22"/>
          <w:szCs w:val="22"/>
        </w:rPr>
        <w:t>any influence  of reading habit toward vocabulary mastery and to know whether reading habit gives positive contribution towards the students vocabulary mastery at the second semester of English department of Muhammadiyah University of Purworejo or not</w:t>
      </w:r>
      <w:r w:rsidRPr="00C47ABC">
        <w:rPr>
          <w:rFonts w:asciiTheme="minorHAnsi" w:hAnsiTheme="minorHAnsi" w:cstheme="minorHAnsi"/>
          <w:sz w:val="22"/>
          <w:szCs w:val="22"/>
          <w:lang w:val="en-GB"/>
        </w:rPr>
        <w:t xml:space="preserve">. </w:t>
      </w:r>
      <w:r w:rsidR="00D45374" w:rsidRPr="00C47ABC">
        <w:rPr>
          <w:rFonts w:asciiTheme="minorHAnsi" w:hAnsiTheme="minorHAnsi" w:cstheme="minorHAnsi"/>
          <w:sz w:val="22"/>
          <w:szCs w:val="22"/>
        </w:rPr>
        <w:t xml:space="preserve">The result of this research shows that the correlation between the students reading habit and students vocabulary mastery at the second  semester of English Department of University Muhammadiyah of Purworejo   is  very high. It is proven from the result of correlation coefficient product moment. shows that observed r (0. 854 ) it is includes to the table interpretation between 0.800 till with 1.000 in the level of very high interpretation. And based on the coefficient of regression in </w:t>
      </w:r>
      <m:oMath>
        <m:sSub>
          <m:sSubPr>
            <m:ctrlPr>
              <w:rPr>
                <w:rFonts w:ascii="Cambria Math" w:hAnsiTheme="minorHAnsi"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value</m:t>
            </m:r>
          </m:sub>
        </m:sSub>
      </m:oMath>
      <w:r w:rsidR="00D45374" w:rsidRPr="00C47ABC">
        <w:rPr>
          <w:rFonts w:asciiTheme="minorHAnsi" w:eastAsiaTheme="minorEastAsia" w:hAnsiTheme="minorHAnsi" w:cstheme="minorHAnsi"/>
          <w:sz w:val="22"/>
          <w:szCs w:val="22"/>
        </w:rPr>
        <w:t xml:space="preserve">=12.700 is more than </w:t>
      </w:r>
      <m:oMath>
        <m:sSub>
          <m:sSubPr>
            <m:ctrlPr>
              <w:rPr>
                <w:rFonts w:ascii="Cambria Math" w:eastAsiaTheme="minorEastAsia" w:hAnsiTheme="minorHAnsi" w:cstheme="minorHAnsi"/>
                <w:i/>
                <w:sz w:val="22"/>
                <w:szCs w:val="22"/>
              </w:rPr>
            </m:ctrlPr>
          </m:sSubPr>
          <m:e>
            <m:r>
              <w:rPr>
                <w:rFonts w:ascii="Cambria Math" w:eastAsiaTheme="minorEastAsia" w:hAnsi="Cambria Math" w:cstheme="minorHAnsi"/>
                <w:sz w:val="22"/>
                <w:szCs w:val="22"/>
              </w:rPr>
              <m:t>t</m:t>
            </m:r>
          </m:e>
          <m:sub>
            <m:r>
              <w:rPr>
                <w:rFonts w:ascii="Cambria Math" w:eastAsiaTheme="minorEastAsia" w:hAnsi="Cambria Math" w:cstheme="minorHAnsi"/>
                <w:sz w:val="22"/>
                <w:szCs w:val="22"/>
              </w:rPr>
              <m:t>table</m:t>
            </m:r>
          </m:sub>
        </m:sSub>
      </m:oMath>
      <w:r w:rsidR="00D45374" w:rsidRPr="00C47ABC">
        <w:rPr>
          <w:rFonts w:asciiTheme="minorHAnsi" w:eastAsiaTheme="minorEastAsia" w:hAnsiTheme="minorHAnsi" w:cstheme="minorHAnsi"/>
          <w:sz w:val="22"/>
          <w:szCs w:val="22"/>
        </w:rPr>
        <w:t>= 2.000, so it is significant. It means the English vocabulary mastery score will rise if the students’ reading habit score rises.</w:t>
      </w:r>
    </w:p>
    <w:p w:rsidR="00D45374" w:rsidRPr="00C47ABC" w:rsidRDefault="00D45374" w:rsidP="00102172">
      <w:pPr>
        <w:spacing w:line="360" w:lineRule="auto"/>
        <w:jc w:val="both"/>
        <w:rPr>
          <w:rFonts w:asciiTheme="minorHAnsi" w:hAnsiTheme="minorHAnsi" w:cstheme="minorHAnsi"/>
        </w:rPr>
      </w:pPr>
    </w:p>
    <w:p w:rsidR="00D45374" w:rsidRPr="00C47ABC" w:rsidRDefault="00D45374" w:rsidP="00102172">
      <w:pPr>
        <w:spacing w:line="360" w:lineRule="auto"/>
        <w:jc w:val="both"/>
        <w:rPr>
          <w:rFonts w:asciiTheme="minorHAnsi" w:hAnsiTheme="minorHAnsi" w:cstheme="minorHAnsi"/>
          <w:b/>
        </w:rPr>
      </w:pPr>
      <w:r w:rsidRPr="00C47ABC">
        <w:rPr>
          <w:rFonts w:asciiTheme="minorHAnsi" w:hAnsiTheme="minorHAnsi" w:cstheme="minorHAnsi"/>
          <w:b/>
        </w:rPr>
        <w:t>Key words : Influence, Reading habit, Vocabulary mastery.</w:t>
      </w:r>
    </w:p>
    <w:p w:rsidR="00B739B9" w:rsidRPr="00C47ABC" w:rsidRDefault="00B739B9" w:rsidP="00102172">
      <w:pPr>
        <w:spacing w:line="360" w:lineRule="auto"/>
        <w:jc w:val="both"/>
        <w:rPr>
          <w:rFonts w:asciiTheme="minorHAnsi" w:hAnsiTheme="minorHAnsi" w:cstheme="minorHAnsi"/>
          <w:b/>
          <w:color w:val="000000" w:themeColor="text1"/>
        </w:rPr>
      </w:pPr>
    </w:p>
    <w:p w:rsidR="00D45374" w:rsidRPr="00C47ABC" w:rsidRDefault="00D45374" w:rsidP="00C47ABC">
      <w:pPr>
        <w:pStyle w:val="ListParagraph"/>
        <w:numPr>
          <w:ilvl w:val="0"/>
          <w:numId w:val="1"/>
        </w:numPr>
        <w:spacing w:line="360" w:lineRule="auto"/>
        <w:ind w:left="284" w:hanging="284"/>
        <w:jc w:val="both"/>
        <w:rPr>
          <w:rFonts w:cstheme="minorHAnsi"/>
          <w:b/>
          <w:sz w:val="24"/>
          <w:szCs w:val="24"/>
        </w:rPr>
      </w:pPr>
      <w:r w:rsidRPr="00C47ABC">
        <w:rPr>
          <w:rFonts w:cstheme="minorHAnsi"/>
          <w:b/>
          <w:sz w:val="24"/>
          <w:szCs w:val="24"/>
        </w:rPr>
        <w:t>Background</w:t>
      </w:r>
    </w:p>
    <w:p w:rsidR="00D45374" w:rsidRPr="00C47ABC" w:rsidRDefault="00D45374" w:rsidP="00337612">
      <w:pPr>
        <w:spacing w:line="360" w:lineRule="auto"/>
        <w:ind w:firstLine="680"/>
        <w:jc w:val="both"/>
        <w:rPr>
          <w:rFonts w:asciiTheme="minorHAnsi" w:hAnsiTheme="minorHAnsi" w:cstheme="minorHAnsi"/>
        </w:rPr>
      </w:pPr>
      <w:r w:rsidRPr="00C47ABC">
        <w:rPr>
          <w:rFonts w:asciiTheme="minorHAnsi" w:hAnsiTheme="minorHAnsi" w:cstheme="minorHAnsi"/>
        </w:rPr>
        <w:t>English is an International Language, which should be mastered by everyone. People use English to communicate with people from other countries. In Indonesia, English is used as the first foreign language that to be taught from elementary school to the university. The process of English teaching and learning at the university in particular covers the four basic language skills; they are listening, speaking, reading and writing. Other language components such as spelling,</w:t>
      </w:r>
      <w:r w:rsidR="00337612">
        <w:rPr>
          <w:rFonts w:asciiTheme="minorHAnsi" w:hAnsiTheme="minorHAnsi" w:cstheme="minorHAnsi"/>
        </w:rPr>
        <w:t xml:space="preserve"> </w:t>
      </w:r>
      <w:r w:rsidRPr="00C47ABC">
        <w:rPr>
          <w:rFonts w:asciiTheme="minorHAnsi" w:hAnsiTheme="minorHAnsi" w:cstheme="minorHAnsi"/>
        </w:rPr>
        <w:t>pronunciation, vocabulary, and grammar are also taught to support the acquisition of the four basic language skills.</w:t>
      </w:r>
    </w:p>
    <w:p w:rsidR="00D45374" w:rsidRPr="00C47ABC" w:rsidRDefault="00D45374" w:rsidP="00337612">
      <w:pPr>
        <w:autoSpaceDE w:val="0"/>
        <w:autoSpaceDN w:val="0"/>
        <w:adjustRightInd w:val="0"/>
        <w:spacing w:line="360" w:lineRule="auto"/>
        <w:ind w:firstLine="680"/>
        <w:jc w:val="both"/>
        <w:rPr>
          <w:rFonts w:asciiTheme="minorHAnsi" w:hAnsiTheme="minorHAnsi" w:cstheme="minorHAnsi"/>
        </w:rPr>
      </w:pPr>
      <w:r w:rsidRPr="00C47ABC">
        <w:rPr>
          <w:rFonts w:asciiTheme="minorHAnsi" w:hAnsiTheme="minorHAnsi" w:cstheme="minorHAnsi"/>
        </w:rPr>
        <w:lastRenderedPageBreak/>
        <w:t>Reading is a very complex process which requires an active p</w:t>
      </w:r>
      <w:r w:rsidR="00337612">
        <w:rPr>
          <w:rFonts w:asciiTheme="minorHAnsi" w:hAnsiTheme="minorHAnsi" w:cstheme="minorHAnsi"/>
        </w:rPr>
        <w:t xml:space="preserve">articipation on the part of </w:t>
      </w:r>
      <w:r w:rsidRPr="00C47ABC">
        <w:rPr>
          <w:rFonts w:asciiTheme="minorHAnsi" w:hAnsiTheme="minorHAnsi" w:cstheme="minorHAnsi"/>
        </w:rPr>
        <w:t>the reader. Reading involves many complex skills that have to come together in order for the reader to be successful. For example, proficient readers recognize the purpose for reading, approach the reading with that purpose in mind, use strategies that have proven successful to them in the past when reading similar texts for similar purposes, monitor their comprehension of the text in light of the purpose for reading, and if needed adjust their strategy use. Proficient readers know when unknown words will interfere with achieving their purpose for reading, and when they will not. When unknown words arise and their meaning is needed for comprehension, proficient readers have a number of word attack strategies available to them that will allow them to interpret the meaning of the words to the extent that they are needed to achieve the purpose for reading.</w:t>
      </w:r>
    </w:p>
    <w:p w:rsidR="00D45374" w:rsidRPr="00C47ABC" w:rsidRDefault="00D45374" w:rsidP="00337612">
      <w:pPr>
        <w:spacing w:line="360" w:lineRule="auto"/>
        <w:ind w:firstLine="680"/>
        <w:jc w:val="both"/>
        <w:rPr>
          <w:rFonts w:asciiTheme="minorHAnsi" w:hAnsiTheme="minorHAnsi" w:cstheme="minorHAnsi"/>
        </w:rPr>
      </w:pPr>
      <w:r w:rsidRPr="00C47ABC">
        <w:rPr>
          <w:rFonts w:asciiTheme="minorHAnsi" w:hAnsiTheme="minorHAnsi" w:cstheme="minorHAnsi"/>
        </w:rPr>
        <w:t>Vocabulary, on the other hand, is an important part in a language. Therefore, English learners must acquire vocabulary. Hornby (1995:1331) said that vocabulary is the total number of words in language. Words are used by people to explain their thoughts. So, we can communicate the ideas more effectively.</w:t>
      </w:r>
    </w:p>
    <w:p w:rsidR="00D45374" w:rsidRPr="00C47ABC" w:rsidRDefault="00D45374" w:rsidP="00337612">
      <w:pPr>
        <w:autoSpaceDE w:val="0"/>
        <w:autoSpaceDN w:val="0"/>
        <w:adjustRightInd w:val="0"/>
        <w:spacing w:line="360" w:lineRule="auto"/>
        <w:ind w:firstLine="680"/>
        <w:jc w:val="both"/>
        <w:rPr>
          <w:rFonts w:asciiTheme="minorHAnsi" w:hAnsiTheme="minorHAnsi" w:cstheme="minorHAnsi"/>
        </w:rPr>
      </w:pPr>
      <w:r w:rsidRPr="00C47ABC">
        <w:rPr>
          <w:rFonts w:asciiTheme="minorHAnsi" w:hAnsiTheme="minorHAnsi" w:cstheme="minorHAnsi"/>
        </w:rPr>
        <w:t>In this thesis, the focus will be on the influence of reading habit toward vo</w:t>
      </w:r>
      <w:r w:rsidR="0029628A" w:rsidRPr="00C47ABC">
        <w:rPr>
          <w:rFonts w:asciiTheme="minorHAnsi" w:hAnsiTheme="minorHAnsi" w:cstheme="minorHAnsi"/>
        </w:rPr>
        <w:t>cabulary mastery of</w:t>
      </w:r>
      <w:r w:rsidRPr="00C47ABC">
        <w:rPr>
          <w:rFonts w:asciiTheme="minorHAnsi" w:hAnsiTheme="minorHAnsi" w:cstheme="minorHAnsi"/>
        </w:rPr>
        <w:t xml:space="preserve"> the second semester students. The results of this research should be able to open their mind towards the importance of reading to improve their vocabulary mastery and perhaps could motivate them to read more.</w:t>
      </w:r>
    </w:p>
    <w:p w:rsidR="00D45374" w:rsidRPr="00C47ABC" w:rsidRDefault="00D45374" w:rsidP="00C47ABC">
      <w:pPr>
        <w:pStyle w:val="ListParagraph"/>
        <w:spacing w:line="360" w:lineRule="auto"/>
        <w:ind w:left="284"/>
        <w:jc w:val="both"/>
        <w:rPr>
          <w:rFonts w:cstheme="minorHAnsi"/>
          <w:b/>
          <w:sz w:val="24"/>
          <w:szCs w:val="24"/>
        </w:rPr>
      </w:pPr>
    </w:p>
    <w:p w:rsidR="00D45374" w:rsidRPr="00C47ABC" w:rsidRDefault="00D45374" w:rsidP="00C47ABC">
      <w:pPr>
        <w:pStyle w:val="ListParagraph"/>
        <w:numPr>
          <w:ilvl w:val="0"/>
          <w:numId w:val="1"/>
        </w:numPr>
        <w:spacing w:line="360" w:lineRule="auto"/>
        <w:ind w:left="284" w:hanging="284"/>
        <w:jc w:val="both"/>
        <w:rPr>
          <w:rFonts w:cstheme="minorHAnsi"/>
          <w:b/>
          <w:sz w:val="24"/>
          <w:szCs w:val="24"/>
        </w:rPr>
      </w:pPr>
      <w:r w:rsidRPr="00C47ABC">
        <w:rPr>
          <w:rFonts w:cstheme="minorHAnsi"/>
          <w:b/>
          <w:sz w:val="24"/>
          <w:szCs w:val="24"/>
        </w:rPr>
        <w:t xml:space="preserve">Method </w:t>
      </w:r>
    </w:p>
    <w:p w:rsidR="00D45374" w:rsidRPr="00C47ABC" w:rsidRDefault="00D45374" w:rsidP="00337612">
      <w:pPr>
        <w:spacing w:line="360" w:lineRule="auto"/>
        <w:ind w:firstLine="680"/>
        <w:jc w:val="both"/>
        <w:rPr>
          <w:rFonts w:asciiTheme="minorHAnsi" w:hAnsiTheme="minorHAnsi" w:cstheme="minorHAnsi"/>
        </w:rPr>
      </w:pPr>
      <w:r w:rsidRPr="00C47ABC">
        <w:rPr>
          <w:rFonts w:asciiTheme="minorHAnsi" w:hAnsiTheme="minorHAnsi" w:cstheme="minorHAnsi"/>
        </w:rPr>
        <w:t>This research was carried out on May 17</w:t>
      </w:r>
      <w:r w:rsidRPr="00C47ABC">
        <w:rPr>
          <w:rFonts w:asciiTheme="minorHAnsi" w:hAnsiTheme="minorHAnsi" w:cstheme="minorHAnsi"/>
          <w:vertAlign w:val="superscript"/>
        </w:rPr>
        <w:t>th</w:t>
      </w:r>
      <w:r w:rsidRPr="00C47ABC">
        <w:rPr>
          <w:rFonts w:asciiTheme="minorHAnsi" w:hAnsiTheme="minorHAnsi" w:cstheme="minorHAnsi"/>
        </w:rPr>
        <w:t xml:space="preserve"> 2013. This research is a descriptive quantitative research. The research was conducted at Muhammadiyah University of Purworejo. The population of this research is the second semester students of Muhammadiyah University of Purworejo in the academic year 2012/2013. The total of the second semester students is 224 students divided into 8 classes. The researcher takes 62 students of II A and II B class as the sample.</w:t>
      </w:r>
      <w:r w:rsidR="002872CC" w:rsidRPr="00C47ABC">
        <w:rPr>
          <w:rFonts w:asciiTheme="minorHAnsi" w:hAnsiTheme="minorHAnsi" w:cstheme="minorHAnsi"/>
        </w:rPr>
        <w:t xml:space="preserve"> In gathering the data, the researcher uses questionnaire and documentation. The questionnaire is used to get the data on the students’  reading habit. The questionnaire consists of 25 statements. Meanwhile, the data on the students’ vocabulary mastery is taken from the </w:t>
      </w:r>
      <w:r w:rsidR="002872CC" w:rsidRPr="00C47ABC">
        <w:rPr>
          <w:rFonts w:asciiTheme="minorHAnsi" w:hAnsiTheme="minorHAnsi" w:cstheme="minorHAnsi"/>
        </w:rPr>
        <w:lastRenderedPageBreak/>
        <w:t xml:space="preserve">score of mid term test from the lecturer of vocabulary in the second semester in the academic year of 2012/2013. </w:t>
      </w:r>
      <w:r w:rsidR="002872CC" w:rsidRPr="00C47ABC">
        <w:rPr>
          <w:rFonts w:asciiTheme="minorHAnsi" w:hAnsiTheme="minorHAnsi" w:cstheme="minorHAnsi"/>
          <w:lang w:val="id-ID"/>
        </w:rPr>
        <w:t>For t</w:t>
      </w:r>
      <w:r w:rsidR="002872CC" w:rsidRPr="00C47ABC">
        <w:rPr>
          <w:rFonts w:asciiTheme="minorHAnsi" w:hAnsiTheme="minorHAnsi" w:cstheme="minorHAnsi"/>
        </w:rPr>
        <w:t>he technique of the data analysis, the researcher used descriptive analysis (mean, mode, median, standard deviation, variance, the low score and the highest score) and the inferential analysis (test of normality, test of homogeneity, and the test of hypothesis).</w:t>
      </w:r>
    </w:p>
    <w:p w:rsidR="00D45374" w:rsidRPr="00C47ABC" w:rsidRDefault="00D45374" w:rsidP="00C47ABC">
      <w:pPr>
        <w:pStyle w:val="ListParagraph"/>
        <w:spacing w:line="360" w:lineRule="auto"/>
        <w:ind w:left="284"/>
        <w:jc w:val="both"/>
        <w:rPr>
          <w:rFonts w:cstheme="minorHAnsi"/>
          <w:b/>
          <w:sz w:val="24"/>
          <w:szCs w:val="24"/>
        </w:rPr>
      </w:pPr>
    </w:p>
    <w:p w:rsidR="00D45374" w:rsidRPr="00C47ABC" w:rsidRDefault="00D45374" w:rsidP="00C47ABC">
      <w:pPr>
        <w:pStyle w:val="ListParagraph"/>
        <w:numPr>
          <w:ilvl w:val="0"/>
          <w:numId w:val="1"/>
        </w:numPr>
        <w:spacing w:line="360" w:lineRule="auto"/>
        <w:ind w:left="284" w:hanging="284"/>
        <w:jc w:val="both"/>
        <w:rPr>
          <w:rFonts w:cstheme="minorHAnsi"/>
          <w:b/>
          <w:sz w:val="24"/>
          <w:szCs w:val="24"/>
        </w:rPr>
      </w:pPr>
      <w:r w:rsidRPr="00C47ABC">
        <w:rPr>
          <w:rFonts w:cstheme="minorHAnsi"/>
          <w:b/>
          <w:sz w:val="24"/>
          <w:szCs w:val="24"/>
        </w:rPr>
        <w:t>Findings Research</w:t>
      </w:r>
    </w:p>
    <w:p w:rsidR="002872CC" w:rsidRPr="00C47ABC" w:rsidRDefault="002872CC" w:rsidP="00337612">
      <w:pPr>
        <w:spacing w:line="360" w:lineRule="auto"/>
        <w:ind w:firstLine="680"/>
        <w:jc w:val="both"/>
        <w:rPr>
          <w:rFonts w:asciiTheme="minorHAnsi" w:hAnsiTheme="minorHAnsi" w:cstheme="minorHAnsi"/>
        </w:rPr>
      </w:pPr>
      <w:r w:rsidRPr="00C47ABC">
        <w:rPr>
          <w:rFonts w:asciiTheme="minorHAnsi" w:hAnsiTheme="minorHAnsi" w:cstheme="minorHAnsi"/>
        </w:rPr>
        <w:t xml:space="preserve">The table below is the summarized scores of </w:t>
      </w:r>
      <w:r w:rsidR="0029628A" w:rsidRPr="00C47ABC">
        <w:rPr>
          <w:rFonts w:asciiTheme="minorHAnsi" w:hAnsiTheme="minorHAnsi" w:cstheme="minorHAnsi"/>
        </w:rPr>
        <w:t xml:space="preserve">the </w:t>
      </w:r>
      <w:r w:rsidR="008B34BB" w:rsidRPr="00C47ABC">
        <w:rPr>
          <w:rFonts w:asciiTheme="minorHAnsi" w:hAnsiTheme="minorHAnsi" w:cstheme="minorHAnsi"/>
        </w:rPr>
        <w:t>students’ reading habit  and students’ vocabulary mastery</w:t>
      </w:r>
      <w:r w:rsidRPr="00C47ABC">
        <w:rPr>
          <w:rFonts w:asciiTheme="minorHAnsi" w:hAnsiTheme="minorHAnsi" w:cstheme="minorHAnsi"/>
        </w:rPr>
        <w:t>.</w:t>
      </w:r>
    </w:p>
    <w:p w:rsidR="00102172" w:rsidRPr="00C47ABC" w:rsidRDefault="008B34BB" w:rsidP="00C47ABC">
      <w:pPr>
        <w:spacing w:line="360" w:lineRule="auto"/>
        <w:jc w:val="center"/>
        <w:rPr>
          <w:rFonts w:asciiTheme="minorHAnsi" w:hAnsiTheme="minorHAnsi" w:cstheme="minorHAnsi"/>
        </w:rPr>
      </w:pPr>
      <w:r w:rsidRPr="00C47ABC">
        <w:rPr>
          <w:rFonts w:asciiTheme="minorHAnsi" w:hAnsiTheme="minorHAnsi" w:cstheme="minorHAnsi"/>
        </w:rPr>
        <w:t>Table 1.</w:t>
      </w:r>
    </w:p>
    <w:p w:rsidR="008B34BB" w:rsidRPr="00C47ABC" w:rsidRDefault="008B34BB" w:rsidP="00C47ABC">
      <w:pPr>
        <w:spacing w:line="360" w:lineRule="auto"/>
        <w:ind w:left="1440"/>
        <w:jc w:val="both"/>
        <w:rPr>
          <w:rFonts w:asciiTheme="minorHAnsi" w:hAnsiTheme="minorHAnsi" w:cstheme="minorHAnsi"/>
        </w:rPr>
      </w:pPr>
      <w:r w:rsidRPr="00C47ABC">
        <w:rPr>
          <w:rFonts w:asciiTheme="minorHAnsi" w:hAnsiTheme="minorHAnsi" w:cstheme="minorHAnsi"/>
        </w:rPr>
        <w:t>Table of Descriptive Analysis of the Students’ Reading Habit and the Students’ Vocabulary Mastery</w:t>
      </w:r>
    </w:p>
    <w:p w:rsidR="008B34BB" w:rsidRPr="00C47ABC" w:rsidRDefault="008B34BB" w:rsidP="00C47ABC">
      <w:pPr>
        <w:spacing w:line="360" w:lineRule="auto"/>
        <w:jc w:val="both"/>
        <w:rPr>
          <w:rFonts w:asciiTheme="minorHAnsi" w:hAnsiTheme="minorHAnsi" w:cstheme="minorHAnsi"/>
        </w:rPr>
      </w:pPr>
      <w:r w:rsidRPr="00C47ABC">
        <w:rPr>
          <w:rFonts w:asciiTheme="minorHAnsi" w:hAnsiTheme="minorHAnsi" w:cstheme="minorHAnsi"/>
        </w:rPr>
        <w:tab/>
      </w:r>
    </w:p>
    <w:tbl>
      <w:tblPr>
        <w:tblStyle w:val="TableGrid"/>
        <w:tblW w:w="0" w:type="auto"/>
        <w:tblInd w:w="1242" w:type="dxa"/>
        <w:tblLook w:val="04A0"/>
      </w:tblPr>
      <w:tblGrid>
        <w:gridCol w:w="1215"/>
        <w:gridCol w:w="486"/>
        <w:gridCol w:w="460"/>
        <w:gridCol w:w="537"/>
        <w:gridCol w:w="764"/>
        <w:gridCol w:w="541"/>
        <w:gridCol w:w="550"/>
        <w:gridCol w:w="709"/>
        <w:gridCol w:w="885"/>
        <w:gridCol w:w="825"/>
      </w:tblGrid>
      <w:tr w:rsidR="008B34BB" w:rsidRPr="00C47ABC" w:rsidTr="00B520BE">
        <w:tc>
          <w:tcPr>
            <w:tcW w:w="1215" w:type="dxa"/>
          </w:tcPr>
          <w:p w:rsidR="008B34BB" w:rsidRPr="00C47ABC" w:rsidRDefault="008B34BB" w:rsidP="00C47ABC">
            <w:pPr>
              <w:jc w:val="both"/>
              <w:rPr>
                <w:rFonts w:asciiTheme="minorHAnsi" w:hAnsiTheme="minorHAnsi" w:cstheme="minorHAnsi"/>
                <w:sz w:val="24"/>
                <w:szCs w:val="24"/>
              </w:rPr>
            </w:pPr>
            <w:r w:rsidRPr="00C47ABC">
              <w:rPr>
                <w:rFonts w:asciiTheme="minorHAnsi" w:hAnsiTheme="minorHAnsi" w:cstheme="minorHAnsi"/>
                <w:sz w:val="24"/>
                <w:szCs w:val="24"/>
              </w:rPr>
              <w:t xml:space="preserve">Source </w:t>
            </w:r>
          </w:p>
        </w:tc>
        <w:tc>
          <w:tcPr>
            <w:tcW w:w="486" w:type="dxa"/>
          </w:tcPr>
          <w:p w:rsidR="008B34BB" w:rsidRPr="00C47ABC" w:rsidRDefault="008B34BB" w:rsidP="00C47ABC">
            <w:pPr>
              <w:jc w:val="both"/>
              <w:rPr>
                <w:rFonts w:asciiTheme="minorHAnsi" w:hAnsiTheme="minorHAnsi" w:cstheme="minorHAnsi"/>
                <w:sz w:val="24"/>
                <w:szCs w:val="24"/>
              </w:rPr>
            </w:pPr>
            <w:r w:rsidRPr="00C47ABC">
              <w:rPr>
                <w:rFonts w:asciiTheme="minorHAnsi" w:hAnsiTheme="minorHAnsi" w:cstheme="minorHAnsi"/>
                <w:sz w:val="24"/>
                <w:szCs w:val="24"/>
              </w:rPr>
              <w:t>H</w:t>
            </w:r>
          </w:p>
        </w:tc>
        <w:tc>
          <w:tcPr>
            <w:tcW w:w="456" w:type="dxa"/>
          </w:tcPr>
          <w:p w:rsidR="008B34BB" w:rsidRPr="00C47ABC" w:rsidRDefault="008B34BB" w:rsidP="00C47ABC">
            <w:pPr>
              <w:jc w:val="both"/>
              <w:rPr>
                <w:rFonts w:asciiTheme="minorHAnsi" w:hAnsiTheme="minorHAnsi" w:cstheme="minorHAnsi"/>
                <w:sz w:val="24"/>
                <w:szCs w:val="24"/>
              </w:rPr>
            </w:pPr>
            <w:r w:rsidRPr="00C47ABC">
              <w:rPr>
                <w:rFonts w:asciiTheme="minorHAnsi" w:hAnsiTheme="minorHAnsi" w:cstheme="minorHAnsi"/>
                <w:sz w:val="24"/>
                <w:szCs w:val="24"/>
              </w:rPr>
              <w:t>L</w:t>
            </w:r>
          </w:p>
        </w:tc>
        <w:tc>
          <w:tcPr>
            <w:tcW w:w="537" w:type="dxa"/>
          </w:tcPr>
          <w:p w:rsidR="008B34BB" w:rsidRPr="00C47ABC" w:rsidRDefault="008B34BB" w:rsidP="00C47ABC">
            <w:pPr>
              <w:jc w:val="both"/>
              <w:rPr>
                <w:rFonts w:asciiTheme="minorHAnsi" w:hAnsiTheme="minorHAnsi" w:cstheme="minorHAnsi"/>
                <w:sz w:val="24"/>
                <w:szCs w:val="24"/>
              </w:rPr>
            </w:pPr>
            <w:r w:rsidRPr="00C47ABC">
              <w:rPr>
                <w:rFonts w:asciiTheme="minorHAnsi" w:hAnsiTheme="minorHAnsi" w:cstheme="minorHAnsi"/>
                <w:sz w:val="24"/>
                <w:szCs w:val="24"/>
              </w:rPr>
              <w:t>R</w:t>
            </w:r>
          </w:p>
        </w:tc>
        <w:tc>
          <w:tcPr>
            <w:tcW w:w="756" w:type="dxa"/>
          </w:tcPr>
          <w:p w:rsidR="008B34BB" w:rsidRPr="00C47ABC" w:rsidRDefault="008B34BB" w:rsidP="00C47ABC">
            <w:pPr>
              <w:jc w:val="both"/>
              <w:rPr>
                <w:rFonts w:asciiTheme="minorHAnsi" w:hAnsiTheme="minorHAnsi" w:cstheme="minorHAnsi"/>
                <w:sz w:val="24"/>
                <w:szCs w:val="24"/>
              </w:rPr>
            </w:pPr>
            <w:r w:rsidRPr="00C47ABC">
              <w:rPr>
                <w:rFonts w:asciiTheme="minorHAnsi" w:hAnsiTheme="minorHAnsi" w:cstheme="minorHAnsi"/>
                <w:sz w:val="24"/>
                <w:szCs w:val="24"/>
              </w:rPr>
              <w:t>M</w:t>
            </w:r>
          </w:p>
        </w:tc>
        <w:tc>
          <w:tcPr>
            <w:tcW w:w="536" w:type="dxa"/>
          </w:tcPr>
          <w:p w:rsidR="008B34BB" w:rsidRPr="00C47ABC" w:rsidRDefault="008B34BB" w:rsidP="00C47ABC">
            <w:pPr>
              <w:jc w:val="both"/>
              <w:rPr>
                <w:rFonts w:asciiTheme="minorHAnsi" w:hAnsiTheme="minorHAnsi" w:cstheme="minorHAnsi"/>
                <w:sz w:val="24"/>
                <w:szCs w:val="24"/>
              </w:rPr>
            </w:pPr>
            <w:r w:rsidRPr="00C47ABC">
              <w:rPr>
                <w:rFonts w:asciiTheme="minorHAnsi" w:hAnsiTheme="minorHAnsi" w:cstheme="minorHAnsi"/>
                <w:sz w:val="24"/>
                <w:szCs w:val="24"/>
              </w:rPr>
              <w:t>Me</w:t>
            </w:r>
          </w:p>
        </w:tc>
        <w:tc>
          <w:tcPr>
            <w:tcW w:w="550" w:type="dxa"/>
          </w:tcPr>
          <w:p w:rsidR="008B34BB" w:rsidRPr="00C47ABC" w:rsidRDefault="008B34BB" w:rsidP="00C47ABC">
            <w:pPr>
              <w:jc w:val="both"/>
              <w:rPr>
                <w:rFonts w:asciiTheme="minorHAnsi" w:hAnsiTheme="minorHAnsi" w:cstheme="minorHAnsi"/>
                <w:sz w:val="24"/>
                <w:szCs w:val="24"/>
              </w:rPr>
            </w:pPr>
            <w:r w:rsidRPr="00C47ABC">
              <w:rPr>
                <w:rFonts w:asciiTheme="minorHAnsi" w:hAnsiTheme="minorHAnsi" w:cstheme="minorHAnsi"/>
                <w:sz w:val="24"/>
                <w:szCs w:val="24"/>
              </w:rPr>
              <w:t>Mo</w:t>
            </w:r>
          </w:p>
        </w:tc>
        <w:tc>
          <w:tcPr>
            <w:tcW w:w="709" w:type="dxa"/>
          </w:tcPr>
          <w:p w:rsidR="008B34BB" w:rsidRPr="00C47ABC" w:rsidRDefault="008B34BB" w:rsidP="00C47ABC">
            <w:pPr>
              <w:jc w:val="both"/>
              <w:rPr>
                <w:rFonts w:asciiTheme="minorHAnsi" w:hAnsiTheme="minorHAnsi" w:cstheme="minorHAnsi"/>
                <w:sz w:val="24"/>
                <w:szCs w:val="24"/>
              </w:rPr>
            </w:pPr>
            <w:r w:rsidRPr="00C47ABC">
              <w:rPr>
                <w:rFonts w:asciiTheme="minorHAnsi" w:hAnsiTheme="minorHAnsi" w:cstheme="minorHAnsi"/>
                <w:sz w:val="24"/>
                <w:szCs w:val="24"/>
              </w:rPr>
              <w:t>T</w:t>
            </w:r>
          </w:p>
        </w:tc>
        <w:tc>
          <w:tcPr>
            <w:tcW w:w="876" w:type="dxa"/>
          </w:tcPr>
          <w:p w:rsidR="008B34BB" w:rsidRPr="00C47ABC" w:rsidRDefault="008B34BB" w:rsidP="00C47ABC">
            <w:pPr>
              <w:jc w:val="both"/>
              <w:rPr>
                <w:rFonts w:asciiTheme="minorHAnsi" w:hAnsiTheme="minorHAnsi" w:cstheme="minorHAnsi"/>
                <w:sz w:val="24"/>
                <w:szCs w:val="24"/>
              </w:rPr>
            </w:pPr>
            <w:r w:rsidRPr="00C47ABC">
              <w:rPr>
                <w:rFonts w:asciiTheme="minorHAnsi" w:hAnsiTheme="minorHAnsi" w:cstheme="minorHAnsi"/>
                <w:sz w:val="24"/>
                <w:szCs w:val="24"/>
              </w:rPr>
              <w:t>s</w:t>
            </w:r>
          </w:p>
        </w:tc>
        <w:tc>
          <w:tcPr>
            <w:tcW w:w="825" w:type="dxa"/>
          </w:tcPr>
          <w:p w:rsidR="008B34BB" w:rsidRPr="00C47ABC" w:rsidRDefault="008B34BB" w:rsidP="00C47ABC">
            <w:pPr>
              <w:jc w:val="both"/>
              <w:rPr>
                <w:rFonts w:asciiTheme="minorHAnsi" w:hAnsiTheme="minorHAnsi" w:cstheme="minorHAnsi"/>
                <w:sz w:val="24"/>
                <w:szCs w:val="24"/>
              </w:rPr>
            </w:pPr>
            <w:r w:rsidRPr="00C47ABC">
              <w:rPr>
                <w:rFonts w:asciiTheme="minorHAnsi" w:hAnsiTheme="minorHAnsi" w:cstheme="minorHAnsi"/>
                <w:sz w:val="24"/>
                <w:szCs w:val="24"/>
              </w:rPr>
              <w:t>SD</w:t>
            </w:r>
          </w:p>
        </w:tc>
      </w:tr>
      <w:tr w:rsidR="008B34BB" w:rsidRPr="00C47ABC" w:rsidTr="00B520BE">
        <w:tc>
          <w:tcPr>
            <w:tcW w:w="1215" w:type="dxa"/>
          </w:tcPr>
          <w:p w:rsidR="008B34BB" w:rsidRPr="00C47ABC" w:rsidRDefault="008B34BB" w:rsidP="00C47ABC">
            <w:pPr>
              <w:jc w:val="both"/>
              <w:rPr>
                <w:rFonts w:asciiTheme="minorHAnsi" w:hAnsiTheme="minorHAnsi" w:cstheme="minorHAnsi"/>
                <w:sz w:val="24"/>
                <w:szCs w:val="24"/>
              </w:rPr>
            </w:pPr>
            <w:r w:rsidRPr="00C47ABC">
              <w:rPr>
                <w:rFonts w:asciiTheme="minorHAnsi" w:hAnsiTheme="minorHAnsi" w:cstheme="minorHAnsi"/>
                <w:sz w:val="24"/>
                <w:szCs w:val="24"/>
              </w:rPr>
              <w:t>Reading habit</w:t>
            </w:r>
          </w:p>
        </w:tc>
        <w:tc>
          <w:tcPr>
            <w:tcW w:w="486" w:type="dxa"/>
          </w:tcPr>
          <w:p w:rsidR="008B34BB" w:rsidRPr="00C47ABC" w:rsidRDefault="008B34BB" w:rsidP="00C47ABC">
            <w:pPr>
              <w:jc w:val="both"/>
              <w:rPr>
                <w:rFonts w:asciiTheme="minorHAnsi" w:hAnsiTheme="minorHAnsi" w:cstheme="minorHAnsi"/>
                <w:sz w:val="24"/>
                <w:szCs w:val="24"/>
              </w:rPr>
            </w:pPr>
            <w:r w:rsidRPr="00C47ABC">
              <w:rPr>
                <w:rFonts w:asciiTheme="minorHAnsi" w:hAnsiTheme="minorHAnsi" w:cstheme="minorHAnsi"/>
                <w:sz w:val="24"/>
                <w:szCs w:val="24"/>
              </w:rPr>
              <w:t>90</w:t>
            </w:r>
          </w:p>
        </w:tc>
        <w:tc>
          <w:tcPr>
            <w:tcW w:w="456" w:type="dxa"/>
          </w:tcPr>
          <w:p w:rsidR="008B34BB" w:rsidRPr="00C47ABC" w:rsidRDefault="008B34BB" w:rsidP="00C47ABC">
            <w:pPr>
              <w:jc w:val="both"/>
              <w:rPr>
                <w:rFonts w:asciiTheme="minorHAnsi" w:hAnsiTheme="minorHAnsi" w:cstheme="minorHAnsi"/>
                <w:sz w:val="24"/>
                <w:szCs w:val="24"/>
              </w:rPr>
            </w:pPr>
            <w:r w:rsidRPr="00C47ABC">
              <w:rPr>
                <w:rFonts w:asciiTheme="minorHAnsi" w:hAnsiTheme="minorHAnsi" w:cstheme="minorHAnsi"/>
                <w:sz w:val="24"/>
                <w:szCs w:val="24"/>
              </w:rPr>
              <w:t>40</w:t>
            </w:r>
          </w:p>
        </w:tc>
        <w:tc>
          <w:tcPr>
            <w:tcW w:w="537" w:type="dxa"/>
          </w:tcPr>
          <w:p w:rsidR="008B34BB" w:rsidRPr="00C47ABC" w:rsidRDefault="008B34BB" w:rsidP="00C47ABC">
            <w:pPr>
              <w:jc w:val="both"/>
              <w:rPr>
                <w:rFonts w:asciiTheme="minorHAnsi" w:hAnsiTheme="minorHAnsi" w:cstheme="minorHAnsi"/>
                <w:sz w:val="24"/>
                <w:szCs w:val="24"/>
              </w:rPr>
            </w:pPr>
            <w:r w:rsidRPr="00C47ABC">
              <w:rPr>
                <w:rFonts w:asciiTheme="minorHAnsi" w:hAnsiTheme="minorHAnsi" w:cstheme="minorHAnsi"/>
                <w:sz w:val="24"/>
                <w:szCs w:val="24"/>
              </w:rPr>
              <w:t>50</w:t>
            </w:r>
          </w:p>
        </w:tc>
        <w:tc>
          <w:tcPr>
            <w:tcW w:w="756" w:type="dxa"/>
          </w:tcPr>
          <w:p w:rsidR="008B34BB" w:rsidRPr="00C47ABC" w:rsidRDefault="008B34BB" w:rsidP="00C47ABC">
            <w:pPr>
              <w:jc w:val="both"/>
              <w:rPr>
                <w:rFonts w:asciiTheme="minorHAnsi" w:hAnsiTheme="minorHAnsi" w:cstheme="minorHAnsi"/>
                <w:sz w:val="24"/>
                <w:szCs w:val="24"/>
              </w:rPr>
            </w:pPr>
            <w:r w:rsidRPr="00C47ABC">
              <w:rPr>
                <w:rFonts w:asciiTheme="minorHAnsi" w:hAnsiTheme="minorHAnsi" w:cstheme="minorHAnsi"/>
                <w:sz w:val="24"/>
                <w:szCs w:val="24"/>
              </w:rPr>
              <w:t>58.85</w:t>
            </w:r>
          </w:p>
        </w:tc>
        <w:tc>
          <w:tcPr>
            <w:tcW w:w="536" w:type="dxa"/>
          </w:tcPr>
          <w:p w:rsidR="008B34BB" w:rsidRPr="00C47ABC" w:rsidRDefault="008B34BB" w:rsidP="00C47ABC">
            <w:pPr>
              <w:jc w:val="both"/>
              <w:rPr>
                <w:rFonts w:asciiTheme="minorHAnsi" w:hAnsiTheme="minorHAnsi" w:cstheme="minorHAnsi"/>
                <w:sz w:val="24"/>
                <w:szCs w:val="24"/>
              </w:rPr>
            </w:pPr>
            <w:r w:rsidRPr="00C47ABC">
              <w:rPr>
                <w:rFonts w:asciiTheme="minorHAnsi" w:hAnsiTheme="minorHAnsi" w:cstheme="minorHAnsi"/>
                <w:sz w:val="24"/>
                <w:szCs w:val="24"/>
              </w:rPr>
              <w:t>55</w:t>
            </w:r>
          </w:p>
        </w:tc>
        <w:tc>
          <w:tcPr>
            <w:tcW w:w="550" w:type="dxa"/>
          </w:tcPr>
          <w:p w:rsidR="008B34BB" w:rsidRPr="00C47ABC" w:rsidRDefault="008B34BB" w:rsidP="00C47ABC">
            <w:pPr>
              <w:jc w:val="both"/>
              <w:rPr>
                <w:rFonts w:asciiTheme="minorHAnsi" w:hAnsiTheme="minorHAnsi" w:cstheme="minorHAnsi"/>
                <w:sz w:val="24"/>
                <w:szCs w:val="24"/>
              </w:rPr>
            </w:pPr>
            <w:r w:rsidRPr="00C47ABC">
              <w:rPr>
                <w:rFonts w:asciiTheme="minorHAnsi" w:hAnsiTheme="minorHAnsi" w:cstheme="minorHAnsi"/>
                <w:sz w:val="24"/>
                <w:szCs w:val="24"/>
              </w:rPr>
              <w:t>40</w:t>
            </w:r>
          </w:p>
        </w:tc>
        <w:tc>
          <w:tcPr>
            <w:tcW w:w="709" w:type="dxa"/>
          </w:tcPr>
          <w:p w:rsidR="008B34BB" w:rsidRPr="00C47ABC" w:rsidRDefault="008B34BB" w:rsidP="00C47ABC">
            <w:pPr>
              <w:jc w:val="both"/>
              <w:rPr>
                <w:rFonts w:asciiTheme="minorHAnsi" w:hAnsiTheme="minorHAnsi" w:cstheme="minorHAnsi"/>
                <w:sz w:val="24"/>
                <w:szCs w:val="24"/>
              </w:rPr>
            </w:pPr>
            <w:r w:rsidRPr="00C47ABC">
              <w:rPr>
                <w:rFonts w:asciiTheme="minorHAnsi" w:hAnsiTheme="minorHAnsi" w:cstheme="minorHAnsi"/>
                <w:sz w:val="24"/>
                <w:szCs w:val="24"/>
              </w:rPr>
              <w:t>3649</w:t>
            </w:r>
          </w:p>
        </w:tc>
        <w:tc>
          <w:tcPr>
            <w:tcW w:w="876" w:type="dxa"/>
          </w:tcPr>
          <w:p w:rsidR="008B34BB" w:rsidRPr="00C47ABC" w:rsidRDefault="008B34BB" w:rsidP="00C47ABC">
            <w:pPr>
              <w:jc w:val="both"/>
              <w:rPr>
                <w:rFonts w:asciiTheme="minorHAnsi" w:hAnsiTheme="minorHAnsi" w:cstheme="minorHAnsi"/>
                <w:sz w:val="24"/>
                <w:szCs w:val="24"/>
              </w:rPr>
            </w:pPr>
            <w:r w:rsidRPr="00C47ABC">
              <w:rPr>
                <w:rFonts w:asciiTheme="minorHAnsi" w:hAnsiTheme="minorHAnsi" w:cstheme="minorHAnsi"/>
                <w:sz w:val="24"/>
                <w:szCs w:val="24"/>
              </w:rPr>
              <w:t>231.31</w:t>
            </w:r>
          </w:p>
        </w:tc>
        <w:tc>
          <w:tcPr>
            <w:tcW w:w="825" w:type="dxa"/>
          </w:tcPr>
          <w:p w:rsidR="008B34BB" w:rsidRPr="00C47ABC" w:rsidRDefault="008B34BB" w:rsidP="00C47ABC">
            <w:pPr>
              <w:jc w:val="both"/>
              <w:rPr>
                <w:rFonts w:asciiTheme="minorHAnsi" w:hAnsiTheme="minorHAnsi" w:cstheme="minorHAnsi"/>
                <w:sz w:val="24"/>
                <w:szCs w:val="24"/>
              </w:rPr>
            </w:pPr>
            <w:r w:rsidRPr="00C47ABC">
              <w:rPr>
                <w:rFonts w:asciiTheme="minorHAnsi" w:hAnsiTheme="minorHAnsi" w:cstheme="minorHAnsi"/>
                <w:sz w:val="24"/>
                <w:szCs w:val="24"/>
              </w:rPr>
              <w:t>15.21</w:t>
            </w:r>
          </w:p>
        </w:tc>
      </w:tr>
      <w:tr w:rsidR="008B34BB" w:rsidRPr="00C47ABC" w:rsidTr="00B520BE">
        <w:tc>
          <w:tcPr>
            <w:tcW w:w="1215" w:type="dxa"/>
          </w:tcPr>
          <w:p w:rsidR="008B34BB" w:rsidRPr="00C47ABC" w:rsidRDefault="008B34BB" w:rsidP="00C47ABC">
            <w:pPr>
              <w:jc w:val="both"/>
              <w:rPr>
                <w:rFonts w:asciiTheme="minorHAnsi" w:hAnsiTheme="minorHAnsi" w:cstheme="minorHAnsi"/>
                <w:sz w:val="24"/>
                <w:szCs w:val="24"/>
              </w:rPr>
            </w:pPr>
            <w:r w:rsidRPr="00C47ABC">
              <w:rPr>
                <w:rFonts w:asciiTheme="minorHAnsi" w:hAnsiTheme="minorHAnsi" w:cstheme="minorHAnsi"/>
                <w:sz w:val="24"/>
                <w:szCs w:val="24"/>
              </w:rPr>
              <w:t xml:space="preserve">Vocab. Mastery </w:t>
            </w:r>
          </w:p>
        </w:tc>
        <w:tc>
          <w:tcPr>
            <w:tcW w:w="486" w:type="dxa"/>
          </w:tcPr>
          <w:p w:rsidR="008B34BB" w:rsidRPr="00C47ABC" w:rsidRDefault="008B34BB" w:rsidP="00C47ABC">
            <w:pPr>
              <w:jc w:val="both"/>
              <w:rPr>
                <w:rFonts w:asciiTheme="minorHAnsi" w:hAnsiTheme="minorHAnsi" w:cstheme="minorHAnsi"/>
                <w:sz w:val="24"/>
                <w:szCs w:val="24"/>
              </w:rPr>
            </w:pPr>
            <w:r w:rsidRPr="00C47ABC">
              <w:rPr>
                <w:rFonts w:asciiTheme="minorHAnsi" w:hAnsiTheme="minorHAnsi" w:cstheme="minorHAnsi"/>
                <w:sz w:val="24"/>
                <w:szCs w:val="24"/>
              </w:rPr>
              <w:t>85</w:t>
            </w:r>
          </w:p>
        </w:tc>
        <w:tc>
          <w:tcPr>
            <w:tcW w:w="456" w:type="dxa"/>
          </w:tcPr>
          <w:p w:rsidR="008B34BB" w:rsidRPr="00C47ABC" w:rsidRDefault="008B34BB" w:rsidP="00C47ABC">
            <w:pPr>
              <w:jc w:val="both"/>
              <w:rPr>
                <w:rFonts w:asciiTheme="minorHAnsi" w:hAnsiTheme="minorHAnsi" w:cstheme="minorHAnsi"/>
                <w:sz w:val="24"/>
                <w:szCs w:val="24"/>
              </w:rPr>
            </w:pPr>
            <w:r w:rsidRPr="00C47ABC">
              <w:rPr>
                <w:rFonts w:asciiTheme="minorHAnsi" w:hAnsiTheme="minorHAnsi" w:cstheme="minorHAnsi"/>
                <w:sz w:val="24"/>
                <w:szCs w:val="24"/>
              </w:rPr>
              <w:t>40</w:t>
            </w:r>
          </w:p>
        </w:tc>
        <w:tc>
          <w:tcPr>
            <w:tcW w:w="537" w:type="dxa"/>
          </w:tcPr>
          <w:p w:rsidR="008B34BB" w:rsidRPr="00C47ABC" w:rsidRDefault="008B34BB" w:rsidP="00C47ABC">
            <w:pPr>
              <w:jc w:val="both"/>
              <w:rPr>
                <w:rFonts w:asciiTheme="minorHAnsi" w:hAnsiTheme="minorHAnsi" w:cstheme="minorHAnsi"/>
                <w:sz w:val="24"/>
                <w:szCs w:val="24"/>
              </w:rPr>
            </w:pPr>
            <w:r w:rsidRPr="00C47ABC">
              <w:rPr>
                <w:rFonts w:asciiTheme="minorHAnsi" w:hAnsiTheme="minorHAnsi" w:cstheme="minorHAnsi"/>
                <w:sz w:val="24"/>
                <w:szCs w:val="24"/>
              </w:rPr>
              <w:t>45</w:t>
            </w:r>
          </w:p>
        </w:tc>
        <w:tc>
          <w:tcPr>
            <w:tcW w:w="756" w:type="dxa"/>
          </w:tcPr>
          <w:p w:rsidR="008B34BB" w:rsidRPr="00C47ABC" w:rsidRDefault="008B34BB" w:rsidP="00C47ABC">
            <w:pPr>
              <w:jc w:val="both"/>
              <w:rPr>
                <w:rFonts w:asciiTheme="minorHAnsi" w:hAnsiTheme="minorHAnsi" w:cstheme="minorHAnsi"/>
                <w:sz w:val="24"/>
                <w:szCs w:val="24"/>
              </w:rPr>
            </w:pPr>
            <w:r w:rsidRPr="00C47ABC">
              <w:rPr>
                <w:rFonts w:asciiTheme="minorHAnsi" w:hAnsiTheme="minorHAnsi" w:cstheme="minorHAnsi"/>
                <w:sz w:val="24"/>
                <w:szCs w:val="24"/>
              </w:rPr>
              <w:t>60.42</w:t>
            </w:r>
          </w:p>
        </w:tc>
        <w:tc>
          <w:tcPr>
            <w:tcW w:w="536" w:type="dxa"/>
          </w:tcPr>
          <w:p w:rsidR="008B34BB" w:rsidRPr="00C47ABC" w:rsidRDefault="008B34BB" w:rsidP="00C47ABC">
            <w:pPr>
              <w:jc w:val="both"/>
              <w:rPr>
                <w:rFonts w:asciiTheme="minorHAnsi" w:hAnsiTheme="minorHAnsi" w:cstheme="minorHAnsi"/>
                <w:sz w:val="24"/>
                <w:szCs w:val="24"/>
              </w:rPr>
            </w:pPr>
            <w:r w:rsidRPr="00C47ABC">
              <w:rPr>
                <w:rFonts w:asciiTheme="minorHAnsi" w:hAnsiTheme="minorHAnsi" w:cstheme="minorHAnsi"/>
                <w:sz w:val="24"/>
                <w:szCs w:val="24"/>
              </w:rPr>
              <w:t>57</w:t>
            </w:r>
          </w:p>
        </w:tc>
        <w:tc>
          <w:tcPr>
            <w:tcW w:w="550" w:type="dxa"/>
          </w:tcPr>
          <w:p w:rsidR="008B34BB" w:rsidRPr="00C47ABC" w:rsidRDefault="008B34BB" w:rsidP="00C47ABC">
            <w:pPr>
              <w:jc w:val="both"/>
              <w:rPr>
                <w:rFonts w:asciiTheme="minorHAnsi" w:hAnsiTheme="minorHAnsi" w:cstheme="minorHAnsi"/>
                <w:sz w:val="24"/>
                <w:szCs w:val="24"/>
              </w:rPr>
            </w:pPr>
            <w:r w:rsidRPr="00C47ABC">
              <w:rPr>
                <w:rFonts w:asciiTheme="minorHAnsi" w:hAnsiTheme="minorHAnsi" w:cstheme="minorHAnsi"/>
                <w:sz w:val="24"/>
                <w:szCs w:val="24"/>
              </w:rPr>
              <w:t>56</w:t>
            </w:r>
          </w:p>
        </w:tc>
        <w:tc>
          <w:tcPr>
            <w:tcW w:w="709" w:type="dxa"/>
          </w:tcPr>
          <w:p w:rsidR="008B34BB" w:rsidRPr="00C47ABC" w:rsidRDefault="008B34BB" w:rsidP="00C47ABC">
            <w:pPr>
              <w:jc w:val="both"/>
              <w:rPr>
                <w:rFonts w:asciiTheme="minorHAnsi" w:hAnsiTheme="minorHAnsi" w:cstheme="minorHAnsi"/>
                <w:sz w:val="24"/>
                <w:szCs w:val="24"/>
              </w:rPr>
            </w:pPr>
            <w:r w:rsidRPr="00C47ABC">
              <w:rPr>
                <w:rFonts w:asciiTheme="minorHAnsi" w:hAnsiTheme="minorHAnsi" w:cstheme="minorHAnsi"/>
                <w:sz w:val="24"/>
                <w:szCs w:val="24"/>
              </w:rPr>
              <w:t>3746</w:t>
            </w:r>
          </w:p>
        </w:tc>
        <w:tc>
          <w:tcPr>
            <w:tcW w:w="876" w:type="dxa"/>
          </w:tcPr>
          <w:p w:rsidR="008B34BB" w:rsidRPr="00C47ABC" w:rsidRDefault="008B34BB" w:rsidP="00C47ABC">
            <w:pPr>
              <w:jc w:val="both"/>
              <w:rPr>
                <w:rFonts w:asciiTheme="minorHAnsi" w:hAnsiTheme="minorHAnsi" w:cstheme="minorHAnsi"/>
                <w:sz w:val="24"/>
                <w:szCs w:val="24"/>
              </w:rPr>
            </w:pPr>
            <w:r w:rsidRPr="00C47ABC">
              <w:rPr>
                <w:rFonts w:asciiTheme="minorHAnsi" w:hAnsiTheme="minorHAnsi" w:cstheme="minorHAnsi"/>
                <w:sz w:val="24"/>
                <w:szCs w:val="24"/>
              </w:rPr>
              <w:t>143.49</w:t>
            </w:r>
          </w:p>
        </w:tc>
        <w:tc>
          <w:tcPr>
            <w:tcW w:w="825" w:type="dxa"/>
          </w:tcPr>
          <w:p w:rsidR="008B34BB" w:rsidRPr="00C47ABC" w:rsidRDefault="008B34BB" w:rsidP="00C47ABC">
            <w:pPr>
              <w:jc w:val="both"/>
              <w:rPr>
                <w:rFonts w:asciiTheme="minorHAnsi" w:hAnsiTheme="minorHAnsi" w:cstheme="minorHAnsi"/>
                <w:sz w:val="24"/>
                <w:szCs w:val="24"/>
              </w:rPr>
            </w:pPr>
            <w:r w:rsidRPr="00C47ABC">
              <w:rPr>
                <w:rFonts w:asciiTheme="minorHAnsi" w:hAnsiTheme="minorHAnsi" w:cstheme="minorHAnsi"/>
                <w:sz w:val="24"/>
                <w:szCs w:val="24"/>
              </w:rPr>
              <w:t>11.98</w:t>
            </w:r>
          </w:p>
        </w:tc>
      </w:tr>
    </w:tbl>
    <w:p w:rsidR="008B34BB" w:rsidRPr="00C47ABC" w:rsidRDefault="008B34BB" w:rsidP="00C47ABC">
      <w:pPr>
        <w:spacing w:line="360" w:lineRule="auto"/>
        <w:ind w:left="284" w:firstLine="436"/>
        <w:jc w:val="both"/>
        <w:rPr>
          <w:rFonts w:asciiTheme="minorHAnsi" w:hAnsiTheme="minorHAnsi" w:cstheme="minorHAnsi"/>
        </w:rPr>
      </w:pPr>
    </w:p>
    <w:p w:rsidR="008B34BB" w:rsidRPr="00C47ABC" w:rsidRDefault="008B34BB" w:rsidP="00337612">
      <w:pPr>
        <w:spacing w:line="360" w:lineRule="auto"/>
        <w:ind w:firstLine="680"/>
        <w:jc w:val="both"/>
        <w:rPr>
          <w:rFonts w:asciiTheme="minorHAnsi" w:hAnsiTheme="minorHAnsi" w:cstheme="minorHAnsi"/>
        </w:rPr>
      </w:pPr>
      <w:r w:rsidRPr="00C47ABC">
        <w:rPr>
          <w:rFonts w:asciiTheme="minorHAnsi" w:hAnsiTheme="minorHAnsi" w:cstheme="minorHAnsi"/>
        </w:rPr>
        <w:t>The highest score of the students’ reading habit at the second semester students of Muhammadiyah University of Purworejo was 90 and the lowest score was 40. The mean was 58.85, the median was 55, the modus was 40, the range was 50, the standard deviation was 15.21, and the variance was 231.31.</w:t>
      </w:r>
      <w:r w:rsidR="008B0B72" w:rsidRPr="00C47ABC">
        <w:rPr>
          <w:rFonts w:asciiTheme="minorHAnsi" w:eastAsiaTheme="minorEastAsia" w:hAnsiTheme="minorHAnsi" w:cstheme="minorHAnsi"/>
        </w:rPr>
        <w:t xml:space="preserve"> Based on the categories, the mean score is the 58.9, it can be concluded that the students’ reading habit of the second semester students of</w:t>
      </w:r>
      <w:r w:rsidR="00C47ABC">
        <w:rPr>
          <w:rFonts w:asciiTheme="minorHAnsi" w:eastAsiaTheme="minorEastAsia" w:hAnsiTheme="minorHAnsi" w:cstheme="minorHAnsi"/>
        </w:rPr>
        <w:t xml:space="preserve"> </w:t>
      </w:r>
      <w:r w:rsidR="008B0B72" w:rsidRPr="00C47ABC">
        <w:rPr>
          <w:rFonts w:asciiTheme="minorHAnsi" w:eastAsiaTheme="minorEastAsia" w:hAnsiTheme="minorHAnsi" w:cstheme="minorHAnsi"/>
        </w:rPr>
        <w:t>Muhammadiyah University of Purworejo in the academic year 2012/2013 is in sufficient level at range of 50-65</w:t>
      </w:r>
      <w:r w:rsidRPr="00C47ABC">
        <w:rPr>
          <w:rFonts w:asciiTheme="minorHAnsi" w:hAnsiTheme="minorHAnsi" w:cstheme="minorHAnsi"/>
        </w:rPr>
        <w:t>.</w:t>
      </w:r>
    </w:p>
    <w:p w:rsidR="008B0B72" w:rsidRPr="00C47ABC" w:rsidRDefault="008B0B72" w:rsidP="00337612">
      <w:pPr>
        <w:spacing w:line="360" w:lineRule="auto"/>
        <w:ind w:firstLine="680"/>
        <w:jc w:val="both"/>
        <w:rPr>
          <w:rFonts w:asciiTheme="minorHAnsi" w:hAnsiTheme="minorHAnsi" w:cstheme="minorHAnsi"/>
        </w:rPr>
      </w:pPr>
      <w:r w:rsidRPr="00C47ABC">
        <w:rPr>
          <w:rFonts w:asciiTheme="minorHAnsi" w:hAnsiTheme="minorHAnsi" w:cstheme="minorHAnsi"/>
        </w:rPr>
        <w:t>The highest score of the students’ vocabulary mastery at the second semester students of Muhammadiyah University of Purworejo was 85 and the lowest score was 40. The mean was 60.42, the median was 57, the modus was 56, the range was 45, the standard deviation was 11.98, and the variance was 143.49.</w:t>
      </w:r>
      <w:r w:rsidRPr="00C47ABC">
        <w:rPr>
          <w:rFonts w:asciiTheme="minorHAnsi" w:eastAsiaTheme="minorEastAsia" w:hAnsiTheme="minorHAnsi" w:cstheme="minorHAnsi"/>
        </w:rPr>
        <w:t xml:space="preserve"> Based on the categories, the mean score is the 57, it can be </w:t>
      </w:r>
      <w:r w:rsidRPr="00C47ABC">
        <w:rPr>
          <w:rFonts w:asciiTheme="minorHAnsi" w:eastAsiaTheme="minorEastAsia" w:hAnsiTheme="minorHAnsi" w:cstheme="minorHAnsi"/>
        </w:rPr>
        <w:lastRenderedPageBreak/>
        <w:t>concluded that the students’ vocabulary mastery of the second semester students of Muhammadiyah University of Purworejo in the academic year 2012/2013 is in sufficient level at range of 50-65</w:t>
      </w:r>
      <w:r w:rsidRPr="00C47ABC">
        <w:rPr>
          <w:rFonts w:asciiTheme="minorHAnsi" w:hAnsiTheme="minorHAnsi" w:cstheme="minorHAnsi"/>
        </w:rPr>
        <w:t>.</w:t>
      </w:r>
    </w:p>
    <w:p w:rsidR="008B0B72" w:rsidRPr="00C47ABC" w:rsidRDefault="008B0B72" w:rsidP="00337612">
      <w:pPr>
        <w:spacing w:line="360" w:lineRule="auto"/>
        <w:ind w:firstLine="680"/>
        <w:jc w:val="both"/>
        <w:rPr>
          <w:rFonts w:asciiTheme="minorHAnsi" w:eastAsiaTheme="minorEastAsia" w:hAnsiTheme="minorHAnsi" w:cstheme="minorHAnsi"/>
        </w:rPr>
      </w:pPr>
      <w:r w:rsidRPr="00C47ABC">
        <w:rPr>
          <w:rFonts w:asciiTheme="minorHAnsi" w:hAnsiTheme="minorHAnsi" w:cstheme="minorHAnsi"/>
        </w:rPr>
        <w:t>The result shows that the correlation (0.854) is more than  r</w:t>
      </w:r>
      <w:r w:rsidRPr="00C47ABC">
        <w:rPr>
          <w:rFonts w:asciiTheme="minorHAnsi" w:hAnsiTheme="minorHAnsi" w:cstheme="minorHAnsi"/>
          <w:vertAlign w:val="subscript"/>
        </w:rPr>
        <w:t>table</w:t>
      </w:r>
      <w:r w:rsidRPr="00C47ABC">
        <w:rPr>
          <w:rFonts w:asciiTheme="minorHAnsi" w:hAnsiTheme="minorHAnsi" w:cstheme="minorHAnsi"/>
        </w:rPr>
        <w:t xml:space="preserve"> (0.254), it means that there is</w:t>
      </w:r>
      <w:r w:rsidR="007C543E" w:rsidRPr="00C47ABC">
        <w:rPr>
          <w:rFonts w:asciiTheme="minorHAnsi" w:hAnsiTheme="minorHAnsi" w:cstheme="minorHAnsi"/>
        </w:rPr>
        <w:t xml:space="preserve"> </w:t>
      </w:r>
      <w:r w:rsidR="007C543E" w:rsidRPr="00C47ABC">
        <w:rPr>
          <w:rFonts w:asciiTheme="minorHAnsi" w:eastAsiaTheme="minorEastAsia" w:hAnsiTheme="minorHAnsi" w:cstheme="minorHAnsi"/>
        </w:rPr>
        <w:t>significant influence on students’ reading habit toward the students’ vocabulary mastery in the academic year 2012/2013</w:t>
      </w:r>
      <w:r w:rsidR="007C543E" w:rsidRPr="00C47ABC">
        <w:rPr>
          <w:rFonts w:asciiTheme="minorHAnsi" w:hAnsiTheme="minorHAnsi" w:cstheme="minorHAnsi"/>
        </w:rPr>
        <w:t xml:space="preserve"> </w:t>
      </w:r>
      <w:r w:rsidRPr="00C47ABC">
        <w:rPr>
          <w:rFonts w:asciiTheme="minorHAnsi" w:hAnsiTheme="minorHAnsi" w:cstheme="minorHAnsi"/>
        </w:rPr>
        <w:t xml:space="preserve">. </w:t>
      </w:r>
      <w:r w:rsidR="007C543E" w:rsidRPr="00C47ABC">
        <w:rPr>
          <w:rFonts w:asciiTheme="minorHAnsi" w:hAnsiTheme="minorHAnsi" w:cstheme="minorHAnsi"/>
        </w:rPr>
        <w:t>Based on t</w:t>
      </w:r>
      <w:r w:rsidRPr="00C47ABC">
        <w:rPr>
          <w:rFonts w:asciiTheme="minorHAnsi" w:hAnsiTheme="minorHAnsi" w:cstheme="minorHAnsi"/>
        </w:rPr>
        <w:t xml:space="preserve">he coefficient of regression in </w:t>
      </w:r>
      <m:oMath>
        <m:sSub>
          <m:sSubPr>
            <m:ctrlPr>
              <w:rPr>
                <w:rFonts w:ascii="Cambria Math" w:hAnsiTheme="minorHAnsi" w:cstheme="minorHAnsi"/>
                <w:i/>
              </w:rPr>
            </m:ctrlPr>
          </m:sSubPr>
          <m:e>
            <m:r>
              <w:rPr>
                <w:rFonts w:ascii="Cambria Math" w:hAnsi="Cambria Math" w:cstheme="minorHAnsi"/>
              </w:rPr>
              <m:t>t</m:t>
            </m:r>
          </m:e>
          <m:sub>
            <m:r>
              <w:rPr>
                <w:rFonts w:ascii="Cambria Math" w:hAnsi="Cambria Math" w:cstheme="minorHAnsi"/>
              </w:rPr>
              <m:t>value</m:t>
            </m:r>
          </m:sub>
        </m:sSub>
      </m:oMath>
      <w:r w:rsidRPr="00C47ABC">
        <w:rPr>
          <w:rFonts w:asciiTheme="minorHAnsi" w:eastAsiaTheme="minorEastAsia" w:hAnsiTheme="minorHAnsi" w:cstheme="minorHAnsi"/>
        </w:rPr>
        <w:t xml:space="preserve">=12.700 is more than </w:t>
      </w:r>
      <m:oMath>
        <m:sSub>
          <m:sSubPr>
            <m:ctrlPr>
              <w:rPr>
                <w:rFonts w:ascii="Cambria Math" w:eastAsiaTheme="minorEastAsia" w:hAnsiTheme="minorHAnsi" w:cstheme="minorHAnsi"/>
                <w:i/>
              </w:rPr>
            </m:ctrlPr>
          </m:sSubPr>
          <m:e>
            <m:r>
              <w:rPr>
                <w:rFonts w:ascii="Cambria Math" w:eastAsiaTheme="minorEastAsia" w:hAnsi="Cambria Math" w:cstheme="minorHAnsi"/>
              </w:rPr>
              <m:t>t</m:t>
            </m:r>
          </m:e>
          <m:sub>
            <m:r>
              <w:rPr>
                <w:rFonts w:ascii="Cambria Math" w:eastAsiaTheme="minorEastAsia" w:hAnsi="Cambria Math" w:cstheme="minorHAnsi"/>
              </w:rPr>
              <m:t>table</m:t>
            </m:r>
          </m:sub>
        </m:sSub>
      </m:oMath>
      <w:r w:rsidRPr="00C47ABC">
        <w:rPr>
          <w:rFonts w:asciiTheme="minorHAnsi" w:eastAsiaTheme="minorEastAsia" w:hAnsiTheme="minorHAnsi" w:cstheme="minorHAnsi"/>
        </w:rPr>
        <w:t>= 2.000, so it is significant.</w:t>
      </w:r>
      <w:r w:rsidR="007C543E" w:rsidRPr="00C47ABC">
        <w:rPr>
          <w:rFonts w:asciiTheme="minorHAnsi" w:eastAsiaTheme="minorEastAsia" w:hAnsiTheme="minorHAnsi" w:cstheme="minorHAnsi"/>
        </w:rPr>
        <w:t xml:space="preserve"> It means that there is a positive contribution on students’ reading habit toward the students’ vocabulary mastery in the academic year 2012/2013.</w:t>
      </w:r>
    </w:p>
    <w:p w:rsidR="002872CC" w:rsidRPr="00C47ABC" w:rsidRDefault="002872CC" w:rsidP="00C47ABC">
      <w:pPr>
        <w:spacing w:line="360" w:lineRule="auto"/>
        <w:jc w:val="both"/>
        <w:rPr>
          <w:rFonts w:asciiTheme="minorHAnsi" w:hAnsiTheme="minorHAnsi" w:cstheme="minorHAnsi"/>
          <w:b/>
        </w:rPr>
      </w:pPr>
    </w:p>
    <w:p w:rsidR="00102172" w:rsidRPr="00C47ABC" w:rsidRDefault="00D45374" w:rsidP="00C47ABC">
      <w:pPr>
        <w:pStyle w:val="ListParagraph"/>
        <w:numPr>
          <w:ilvl w:val="0"/>
          <w:numId w:val="1"/>
        </w:numPr>
        <w:spacing w:line="360" w:lineRule="auto"/>
        <w:ind w:left="284" w:hanging="284"/>
        <w:jc w:val="both"/>
        <w:rPr>
          <w:rFonts w:cstheme="minorHAnsi"/>
          <w:b/>
          <w:sz w:val="24"/>
          <w:szCs w:val="24"/>
        </w:rPr>
      </w:pPr>
      <w:r w:rsidRPr="00C47ABC">
        <w:rPr>
          <w:rFonts w:cstheme="minorHAnsi"/>
          <w:b/>
          <w:sz w:val="24"/>
          <w:szCs w:val="24"/>
        </w:rPr>
        <w:t xml:space="preserve">Conclusion </w:t>
      </w:r>
    </w:p>
    <w:p w:rsidR="00102172" w:rsidRPr="00C47ABC" w:rsidRDefault="00102172" w:rsidP="00337612">
      <w:pPr>
        <w:spacing w:line="360" w:lineRule="auto"/>
        <w:ind w:left="680"/>
        <w:jc w:val="both"/>
        <w:rPr>
          <w:rFonts w:asciiTheme="minorHAnsi" w:hAnsiTheme="minorHAnsi" w:cstheme="minorHAnsi"/>
          <w:b/>
        </w:rPr>
      </w:pPr>
      <w:r w:rsidRPr="00C47ABC">
        <w:rPr>
          <w:rFonts w:asciiTheme="minorHAnsi" w:hAnsiTheme="minorHAnsi" w:cstheme="minorHAnsi"/>
        </w:rPr>
        <w:t>Based on the result of this study, some conclusions can be drawn as follows:</w:t>
      </w:r>
    </w:p>
    <w:p w:rsidR="007C543E" w:rsidRPr="00C47ABC" w:rsidRDefault="007C543E" w:rsidP="00C47ABC">
      <w:pPr>
        <w:pStyle w:val="ListParagraph"/>
        <w:numPr>
          <w:ilvl w:val="0"/>
          <w:numId w:val="2"/>
        </w:numPr>
        <w:autoSpaceDE w:val="0"/>
        <w:autoSpaceDN w:val="0"/>
        <w:adjustRightInd w:val="0"/>
        <w:spacing w:after="0" w:line="360" w:lineRule="auto"/>
        <w:ind w:left="709" w:hanging="425"/>
        <w:jc w:val="both"/>
        <w:rPr>
          <w:rFonts w:cstheme="minorHAnsi"/>
          <w:sz w:val="24"/>
          <w:szCs w:val="24"/>
        </w:rPr>
      </w:pPr>
      <w:r w:rsidRPr="00C47ABC">
        <w:rPr>
          <w:rFonts w:cstheme="minorHAnsi"/>
          <w:sz w:val="24"/>
          <w:szCs w:val="24"/>
        </w:rPr>
        <w:t xml:space="preserve">According to the result of the computation correlation shows that the value of correlation is 0.854, it means that there is </w:t>
      </w:r>
      <w:r w:rsidRPr="00C47ABC">
        <w:rPr>
          <w:rFonts w:eastAsiaTheme="minorEastAsia" w:cstheme="minorHAnsi"/>
          <w:sz w:val="24"/>
          <w:szCs w:val="24"/>
        </w:rPr>
        <w:t>significant influence on students’ reading habit toward the students’ vocabulary mastery in the academic year 2012/2013</w:t>
      </w:r>
      <w:r w:rsidRPr="00C47ABC">
        <w:rPr>
          <w:rFonts w:cstheme="minorHAnsi"/>
          <w:sz w:val="24"/>
          <w:szCs w:val="24"/>
        </w:rPr>
        <w:t xml:space="preserve">. </w:t>
      </w:r>
    </w:p>
    <w:p w:rsidR="00FA58B6" w:rsidRPr="00C47ABC" w:rsidRDefault="007C543E" w:rsidP="00C47ABC">
      <w:pPr>
        <w:pStyle w:val="ListParagraph"/>
        <w:numPr>
          <w:ilvl w:val="0"/>
          <w:numId w:val="2"/>
        </w:numPr>
        <w:autoSpaceDE w:val="0"/>
        <w:autoSpaceDN w:val="0"/>
        <w:adjustRightInd w:val="0"/>
        <w:spacing w:after="0" w:line="360" w:lineRule="auto"/>
        <w:ind w:left="709" w:hanging="425"/>
        <w:jc w:val="both"/>
        <w:rPr>
          <w:rFonts w:cstheme="minorHAnsi"/>
          <w:sz w:val="24"/>
          <w:szCs w:val="24"/>
        </w:rPr>
      </w:pPr>
      <w:r w:rsidRPr="00C47ABC">
        <w:rPr>
          <w:rFonts w:cstheme="minorHAnsi"/>
          <w:sz w:val="24"/>
          <w:szCs w:val="24"/>
        </w:rPr>
        <w:t xml:space="preserve">According to the coefficient of regression in </w:t>
      </w:r>
      <m:oMath>
        <m:sSub>
          <m:sSubPr>
            <m:ctrlPr>
              <w:rPr>
                <w:rFonts w:ascii="Cambria Math" w:hAnsi="Cambria Math" w:cstheme="minorHAnsi"/>
                <w:i/>
                <w:sz w:val="24"/>
                <w:szCs w:val="24"/>
              </w:rPr>
            </m:ctrlPr>
          </m:sSubPr>
          <m:e>
            <m:r>
              <w:rPr>
                <w:rFonts w:ascii="Cambria Math" w:hAnsi="Cambria Math" w:cstheme="minorHAnsi"/>
                <w:sz w:val="24"/>
                <w:szCs w:val="24"/>
              </w:rPr>
              <m:t>t</m:t>
            </m:r>
          </m:e>
          <m:sub>
            <m:r>
              <w:rPr>
                <w:rFonts w:ascii="Cambria Math" w:hAnsi="Cambria Math" w:cstheme="minorHAnsi"/>
                <w:sz w:val="24"/>
                <w:szCs w:val="24"/>
              </w:rPr>
              <m:t>value</m:t>
            </m:r>
          </m:sub>
        </m:sSub>
      </m:oMath>
      <w:r w:rsidRPr="00C47ABC">
        <w:rPr>
          <w:rFonts w:eastAsiaTheme="minorEastAsia" w:cstheme="minorHAnsi"/>
          <w:sz w:val="24"/>
          <w:szCs w:val="24"/>
        </w:rPr>
        <w:t xml:space="preserve">=12.700 is more than </w:t>
      </w: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t</m:t>
            </m:r>
          </m:e>
          <m:sub>
            <m:r>
              <w:rPr>
                <w:rFonts w:ascii="Cambria Math" w:eastAsiaTheme="minorEastAsia" w:hAnsi="Cambria Math" w:cstheme="minorHAnsi"/>
                <w:sz w:val="24"/>
                <w:szCs w:val="24"/>
              </w:rPr>
              <m:t>table</m:t>
            </m:r>
          </m:sub>
        </m:sSub>
      </m:oMath>
      <w:r w:rsidRPr="00C47ABC">
        <w:rPr>
          <w:rFonts w:eastAsiaTheme="minorEastAsia" w:cstheme="minorHAnsi"/>
          <w:sz w:val="24"/>
          <w:szCs w:val="24"/>
        </w:rPr>
        <w:t>= 2.000, so it is significant. It means the English vocabulary mastery score will rise if the students’ reading habit score rises. The higher level of the students’ reading habit the higher level of their English vocabulary mastery. On the contrary, the lower students’ reading habit the lower level of their English vocabulary mastery. The researcher concludes that the hypothesis which stated in chapter I</w:t>
      </w:r>
      <w:r w:rsidR="0029628A" w:rsidRPr="00C47ABC">
        <w:rPr>
          <w:rFonts w:eastAsiaTheme="minorEastAsia" w:cstheme="minorHAnsi"/>
          <w:sz w:val="24"/>
          <w:szCs w:val="24"/>
        </w:rPr>
        <w:t>I</w:t>
      </w:r>
      <w:r w:rsidRPr="00C47ABC">
        <w:rPr>
          <w:rFonts w:eastAsiaTheme="minorEastAsia" w:cstheme="minorHAnsi"/>
          <w:sz w:val="24"/>
          <w:szCs w:val="24"/>
        </w:rPr>
        <w:t xml:space="preserve"> is answered, that there is a positive contribution on students’ reading habit toward the students’ vocabulary mastery in the academic year 2012/2013. </w:t>
      </w:r>
    </w:p>
    <w:p w:rsidR="00840230" w:rsidRDefault="00840230" w:rsidP="00840230">
      <w:pPr>
        <w:spacing w:line="360" w:lineRule="auto"/>
        <w:jc w:val="both"/>
        <w:rPr>
          <w:rFonts w:asciiTheme="minorHAnsi" w:hAnsiTheme="minorHAnsi" w:cstheme="minorHAnsi"/>
          <w:b/>
        </w:rPr>
      </w:pPr>
    </w:p>
    <w:p w:rsidR="00840230" w:rsidRPr="00840230" w:rsidRDefault="00102172" w:rsidP="00840230">
      <w:pPr>
        <w:spacing w:line="360" w:lineRule="auto"/>
        <w:rPr>
          <w:rFonts w:asciiTheme="minorHAnsi" w:hAnsiTheme="minorHAnsi" w:cstheme="minorHAnsi"/>
          <w:b/>
        </w:rPr>
      </w:pPr>
      <w:r w:rsidRPr="00840230">
        <w:rPr>
          <w:rFonts w:asciiTheme="minorHAnsi" w:hAnsiTheme="minorHAnsi" w:cstheme="minorHAnsi"/>
          <w:b/>
        </w:rPr>
        <w:t>References</w:t>
      </w:r>
    </w:p>
    <w:p w:rsidR="00337612" w:rsidRPr="00840230" w:rsidRDefault="00337612" w:rsidP="00840230">
      <w:pPr>
        <w:autoSpaceDE w:val="0"/>
        <w:autoSpaceDN w:val="0"/>
        <w:adjustRightInd w:val="0"/>
        <w:spacing w:line="360" w:lineRule="auto"/>
        <w:ind w:left="993" w:hanging="993"/>
        <w:jc w:val="both"/>
        <w:rPr>
          <w:rFonts w:asciiTheme="minorHAnsi" w:hAnsiTheme="minorHAnsi" w:cstheme="minorHAnsi"/>
        </w:rPr>
      </w:pPr>
      <w:r w:rsidRPr="00840230">
        <w:rPr>
          <w:rFonts w:asciiTheme="minorHAnsi" w:hAnsiTheme="minorHAnsi" w:cstheme="minorHAnsi"/>
        </w:rPr>
        <w:t xml:space="preserve">Arikunto, Suharsimi. 2010. </w:t>
      </w:r>
      <w:r w:rsidRPr="00840230">
        <w:rPr>
          <w:rFonts w:asciiTheme="minorHAnsi" w:hAnsiTheme="minorHAnsi" w:cstheme="minorHAnsi"/>
          <w:i/>
        </w:rPr>
        <w:t>Prosedur Penelitian Suatu Pendekatan Praktik (Edisi Revisi)</w:t>
      </w:r>
      <w:r w:rsidRPr="00840230">
        <w:rPr>
          <w:rFonts w:asciiTheme="minorHAnsi" w:hAnsiTheme="minorHAnsi" w:cstheme="minorHAnsi"/>
        </w:rPr>
        <w:t xml:space="preserve">. Jakarta: Rineka Cipta. </w:t>
      </w:r>
    </w:p>
    <w:p w:rsidR="00337612" w:rsidRPr="00840230" w:rsidRDefault="00337612" w:rsidP="00337612">
      <w:pPr>
        <w:autoSpaceDE w:val="0"/>
        <w:autoSpaceDN w:val="0"/>
        <w:adjustRightInd w:val="0"/>
        <w:spacing w:line="360" w:lineRule="auto"/>
        <w:ind w:left="993" w:hanging="993"/>
        <w:jc w:val="both"/>
        <w:rPr>
          <w:rFonts w:asciiTheme="minorHAnsi" w:hAnsiTheme="minorHAnsi" w:cstheme="minorHAnsi"/>
        </w:rPr>
      </w:pPr>
      <w:r w:rsidRPr="00840230">
        <w:rPr>
          <w:rFonts w:asciiTheme="minorHAnsi" w:hAnsiTheme="minorHAnsi" w:cstheme="minorHAnsi"/>
        </w:rPr>
        <w:t xml:space="preserve">Broughton, Geoffrey and friends. 2003. </w:t>
      </w:r>
      <w:r w:rsidRPr="00840230">
        <w:rPr>
          <w:rFonts w:asciiTheme="minorHAnsi" w:hAnsiTheme="minorHAnsi" w:cstheme="minorHAnsi"/>
          <w:i/>
        </w:rPr>
        <w:t>Teaching English as a Foreign Language</w:t>
      </w:r>
      <w:r w:rsidRPr="00840230">
        <w:rPr>
          <w:rFonts w:asciiTheme="minorHAnsi" w:hAnsiTheme="minorHAnsi" w:cstheme="minorHAnsi"/>
        </w:rPr>
        <w:t>. New York: Routledge.</w:t>
      </w:r>
    </w:p>
    <w:p w:rsidR="00337612" w:rsidRPr="00840230" w:rsidRDefault="00337612" w:rsidP="00337612">
      <w:pPr>
        <w:autoSpaceDE w:val="0"/>
        <w:autoSpaceDN w:val="0"/>
        <w:adjustRightInd w:val="0"/>
        <w:spacing w:line="360" w:lineRule="auto"/>
        <w:ind w:left="993" w:hanging="993"/>
        <w:jc w:val="both"/>
        <w:rPr>
          <w:rFonts w:asciiTheme="minorHAnsi" w:hAnsiTheme="minorHAnsi" w:cstheme="minorHAnsi"/>
        </w:rPr>
      </w:pPr>
      <w:r w:rsidRPr="00840230">
        <w:rPr>
          <w:rFonts w:asciiTheme="minorHAnsi" w:hAnsiTheme="minorHAnsi" w:cstheme="minorHAnsi"/>
        </w:rPr>
        <w:lastRenderedPageBreak/>
        <w:t xml:space="preserve">Brown. H.D. 2000. </w:t>
      </w:r>
      <w:r w:rsidRPr="00840230">
        <w:rPr>
          <w:rFonts w:asciiTheme="minorHAnsi" w:hAnsiTheme="minorHAnsi" w:cstheme="minorHAnsi"/>
          <w:i/>
        </w:rPr>
        <w:t>Principles of Language Learning and teaching</w:t>
      </w:r>
      <w:r w:rsidRPr="00840230">
        <w:rPr>
          <w:rFonts w:asciiTheme="minorHAnsi" w:hAnsiTheme="minorHAnsi" w:cstheme="minorHAnsi"/>
        </w:rPr>
        <w:t>. New York: Longman.</w:t>
      </w:r>
    </w:p>
    <w:p w:rsidR="00337612" w:rsidRPr="00840230" w:rsidRDefault="00337612" w:rsidP="00337612">
      <w:pPr>
        <w:autoSpaceDE w:val="0"/>
        <w:autoSpaceDN w:val="0"/>
        <w:adjustRightInd w:val="0"/>
        <w:spacing w:line="360" w:lineRule="auto"/>
        <w:ind w:left="993" w:hanging="993"/>
        <w:jc w:val="both"/>
        <w:rPr>
          <w:rFonts w:asciiTheme="minorHAnsi" w:hAnsiTheme="minorHAnsi" w:cstheme="minorHAnsi"/>
        </w:rPr>
      </w:pPr>
      <w:r w:rsidRPr="00840230">
        <w:rPr>
          <w:rFonts w:asciiTheme="minorHAnsi" w:hAnsiTheme="minorHAnsi" w:cstheme="minorHAnsi"/>
        </w:rPr>
        <w:t xml:space="preserve">Grabe and Stoller. 2002. </w:t>
      </w:r>
      <w:r w:rsidRPr="00840230">
        <w:rPr>
          <w:rFonts w:asciiTheme="minorHAnsi" w:hAnsiTheme="minorHAnsi" w:cstheme="minorHAnsi"/>
          <w:i/>
        </w:rPr>
        <w:t>Teaching and Researching Reading</w:t>
      </w:r>
      <w:r w:rsidRPr="00840230">
        <w:rPr>
          <w:rFonts w:asciiTheme="minorHAnsi" w:hAnsiTheme="minorHAnsi" w:cstheme="minorHAnsi"/>
        </w:rPr>
        <w:t>. London: Longman.</w:t>
      </w:r>
    </w:p>
    <w:p w:rsidR="00337612" w:rsidRPr="00840230" w:rsidRDefault="00337612" w:rsidP="00337612">
      <w:pPr>
        <w:autoSpaceDE w:val="0"/>
        <w:autoSpaceDN w:val="0"/>
        <w:adjustRightInd w:val="0"/>
        <w:spacing w:line="360" w:lineRule="auto"/>
        <w:ind w:left="993" w:hanging="993"/>
        <w:jc w:val="both"/>
        <w:rPr>
          <w:rFonts w:asciiTheme="minorHAnsi" w:hAnsiTheme="minorHAnsi" w:cstheme="minorHAnsi"/>
        </w:rPr>
      </w:pPr>
      <w:r w:rsidRPr="00840230">
        <w:rPr>
          <w:rFonts w:asciiTheme="minorHAnsi" w:hAnsiTheme="minorHAnsi" w:cstheme="minorHAnsi"/>
        </w:rPr>
        <w:t xml:space="preserve">Sugiyono. 2010. </w:t>
      </w:r>
      <w:r w:rsidRPr="00840230">
        <w:rPr>
          <w:rFonts w:asciiTheme="minorHAnsi" w:hAnsiTheme="minorHAnsi" w:cstheme="minorHAnsi"/>
          <w:i/>
        </w:rPr>
        <w:t>Statistika Untuk Penelitian</w:t>
      </w:r>
      <w:r w:rsidRPr="00840230">
        <w:rPr>
          <w:rFonts w:asciiTheme="minorHAnsi" w:hAnsiTheme="minorHAnsi" w:cstheme="minorHAnsi"/>
        </w:rPr>
        <w:t>. Bandung: Alfabeta.</w:t>
      </w:r>
    </w:p>
    <w:p w:rsidR="00337612" w:rsidRPr="00840230" w:rsidRDefault="00337612" w:rsidP="00337612">
      <w:pPr>
        <w:autoSpaceDE w:val="0"/>
        <w:autoSpaceDN w:val="0"/>
        <w:adjustRightInd w:val="0"/>
        <w:spacing w:line="360" w:lineRule="auto"/>
        <w:ind w:left="993" w:hanging="993"/>
        <w:jc w:val="both"/>
        <w:rPr>
          <w:rFonts w:asciiTheme="minorHAnsi" w:hAnsiTheme="minorHAnsi" w:cstheme="minorHAnsi"/>
        </w:rPr>
      </w:pPr>
      <w:r w:rsidRPr="00840230">
        <w:rPr>
          <w:rFonts w:asciiTheme="minorHAnsi" w:hAnsiTheme="minorHAnsi" w:cstheme="minorHAnsi"/>
        </w:rPr>
        <w:t xml:space="preserve">Nunan, David. 1993. </w:t>
      </w:r>
      <w:r w:rsidRPr="00840230">
        <w:rPr>
          <w:rFonts w:asciiTheme="minorHAnsi" w:hAnsiTheme="minorHAnsi" w:cstheme="minorHAnsi"/>
          <w:i/>
        </w:rPr>
        <w:t>Research Method in Language Learning</w:t>
      </w:r>
      <w:r w:rsidRPr="00840230">
        <w:rPr>
          <w:rFonts w:asciiTheme="minorHAnsi" w:hAnsiTheme="minorHAnsi" w:cstheme="minorHAnsi"/>
        </w:rPr>
        <w:t>. Cambridge: Cambridge University Press.</w:t>
      </w:r>
    </w:p>
    <w:p w:rsidR="00337612" w:rsidRPr="00840230" w:rsidRDefault="00337612" w:rsidP="00337612">
      <w:pPr>
        <w:autoSpaceDE w:val="0"/>
        <w:autoSpaceDN w:val="0"/>
        <w:adjustRightInd w:val="0"/>
        <w:spacing w:line="360" w:lineRule="auto"/>
        <w:ind w:left="993" w:hanging="993"/>
        <w:jc w:val="both"/>
        <w:rPr>
          <w:rFonts w:asciiTheme="minorHAnsi" w:hAnsiTheme="minorHAnsi" w:cstheme="minorHAnsi"/>
        </w:rPr>
      </w:pPr>
      <w:r w:rsidRPr="00840230">
        <w:rPr>
          <w:rFonts w:asciiTheme="minorHAnsi" w:hAnsiTheme="minorHAnsi" w:cstheme="minorHAnsi"/>
        </w:rPr>
        <w:t xml:space="preserve">Hornby. A.S. 2000. </w:t>
      </w:r>
      <w:r w:rsidRPr="00840230">
        <w:rPr>
          <w:rFonts w:asciiTheme="minorHAnsi" w:hAnsiTheme="minorHAnsi" w:cstheme="minorHAnsi"/>
          <w:i/>
        </w:rPr>
        <w:t xml:space="preserve">Oxford Advanced Learner’s Dictionary. </w:t>
      </w:r>
      <w:r w:rsidRPr="00840230">
        <w:rPr>
          <w:rFonts w:asciiTheme="minorHAnsi" w:hAnsiTheme="minorHAnsi" w:cstheme="minorHAnsi"/>
        </w:rPr>
        <w:t>New York: Oxford Universty</w:t>
      </w:r>
    </w:p>
    <w:p w:rsidR="00337612" w:rsidRPr="00840230" w:rsidRDefault="00337612" w:rsidP="00337612">
      <w:pPr>
        <w:autoSpaceDE w:val="0"/>
        <w:autoSpaceDN w:val="0"/>
        <w:adjustRightInd w:val="0"/>
        <w:spacing w:line="360" w:lineRule="auto"/>
        <w:ind w:left="993" w:hanging="993"/>
        <w:jc w:val="both"/>
        <w:rPr>
          <w:rFonts w:asciiTheme="minorHAnsi" w:hAnsiTheme="minorHAnsi" w:cstheme="minorHAnsi"/>
        </w:rPr>
      </w:pPr>
      <w:r w:rsidRPr="00840230">
        <w:rPr>
          <w:rFonts w:asciiTheme="minorHAnsi" w:hAnsiTheme="minorHAnsi" w:cstheme="minorHAnsi"/>
        </w:rPr>
        <w:t xml:space="preserve">Hornby, A.S. 1995. </w:t>
      </w:r>
      <w:r w:rsidRPr="00840230">
        <w:rPr>
          <w:rFonts w:asciiTheme="minorHAnsi" w:hAnsiTheme="minorHAnsi" w:cstheme="minorHAnsi"/>
          <w:i/>
        </w:rPr>
        <w:t>Oxford Learner’s Dictionary</w:t>
      </w:r>
      <w:r w:rsidRPr="00840230">
        <w:rPr>
          <w:rFonts w:asciiTheme="minorHAnsi" w:hAnsiTheme="minorHAnsi" w:cstheme="minorHAnsi"/>
        </w:rPr>
        <w:t>. New York: Oxford University.</w:t>
      </w:r>
    </w:p>
    <w:p w:rsidR="00337612" w:rsidRPr="00840230" w:rsidRDefault="00337612" w:rsidP="00337612">
      <w:pPr>
        <w:autoSpaceDE w:val="0"/>
        <w:autoSpaceDN w:val="0"/>
        <w:adjustRightInd w:val="0"/>
        <w:spacing w:line="360" w:lineRule="auto"/>
        <w:ind w:left="993" w:hanging="993"/>
        <w:jc w:val="both"/>
        <w:rPr>
          <w:rFonts w:asciiTheme="minorHAnsi" w:hAnsiTheme="minorHAnsi" w:cstheme="minorHAnsi"/>
        </w:rPr>
      </w:pPr>
      <w:r w:rsidRPr="00840230">
        <w:rPr>
          <w:rFonts w:asciiTheme="minorHAnsi" w:hAnsiTheme="minorHAnsi" w:cstheme="minorHAnsi"/>
        </w:rPr>
        <w:t xml:space="preserve">Hatch and Brown. 1995. </w:t>
      </w:r>
      <w:r w:rsidRPr="00840230">
        <w:rPr>
          <w:rFonts w:asciiTheme="minorHAnsi" w:hAnsiTheme="minorHAnsi" w:cstheme="minorHAnsi"/>
          <w:i/>
        </w:rPr>
        <w:t>Vocabulary, Semantics, and Language Education</w:t>
      </w:r>
      <w:r w:rsidRPr="00840230">
        <w:rPr>
          <w:rFonts w:asciiTheme="minorHAnsi" w:hAnsiTheme="minorHAnsi" w:cstheme="minorHAnsi"/>
        </w:rPr>
        <w:t>. Cambridge: Cambridge University.</w:t>
      </w:r>
    </w:p>
    <w:p w:rsidR="00337612" w:rsidRPr="00840230" w:rsidRDefault="00337612" w:rsidP="00337612">
      <w:pPr>
        <w:autoSpaceDE w:val="0"/>
        <w:autoSpaceDN w:val="0"/>
        <w:adjustRightInd w:val="0"/>
        <w:spacing w:line="360" w:lineRule="auto"/>
        <w:ind w:left="993" w:hanging="993"/>
        <w:jc w:val="both"/>
        <w:rPr>
          <w:rFonts w:asciiTheme="minorHAnsi" w:hAnsiTheme="minorHAnsi" w:cstheme="minorHAnsi"/>
        </w:rPr>
      </w:pPr>
      <w:r w:rsidRPr="00840230">
        <w:rPr>
          <w:rFonts w:asciiTheme="minorHAnsi" w:hAnsiTheme="minorHAnsi" w:cstheme="minorHAnsi"/>
        </w:rPr>
        <w:t xml:space="preserve">Sugiyono. 2011. </w:t>
      </w:r>
      <w:r w:rsidRPr="00840230">
        <w:rPr>
          <w:rFonts w:asciiTheme="minorHAnsi" w:hAnsiTheme="minorHAnsi" w:cstheme="minorHAnsi"/>
          <w:i/>
        </w:rPr>
        <w:t>Metode Penelitian Kuantitatif Kualitatif R&amp;D</w:t>
      </w:r>
      <w:r w:rsidRPr="00840230">
        <w:rPr>
          <w:rFonts w:asciiTheme="minorHAnsi" w:hAnsiTheme="minorHAnsi" w:cstheme="minorHAnsi"/>
        </w:rPr>
        <w:t>. Bandung: Alfabeta.</w:t>
      </w:r>
    </w:p>
    <w:p w:rsidR="00337612" w:rsidRPr="00840230" w:rsidRDefault="00337612" w:rsidP="00337612">
      <w:pPr>
        <w:autoSpaceDE w:val="0"/>
        <w:autoSpaceDN w:val="0"/>
        <w:adjustRightInd w:val="0"/>
        <w:spacing w:line="360" w:lineRule="auto"/>
        <w:ind w:left="993" w:hanging="993"/>
        <w:jc w:val="both"/>
        <w:rPr>
          <w:rFonts w:asciiTheme="minorHAnsi" w:hAnsiTheme="minorHAnsi" w:cstheme="minorHAnsi"/>
        </w:rPr>
      </w:pPr>
      <w:r w:rsidRPr="00840230">
        <w:rPr>
          <w:rFonts w:asciiTheme="minorHAnsi" w:hAnsiTheme="minorHAnsi" w:cstheme="minorHAnsi"/>
        </w:rPr>
        <w:t xml:space="preserve">Harmer, Jeremy. 2002. </w:t>
      </w:r>
      <w:r w:rsidRPr="00840230">
        <w:rPr>
          <w:rFonts w:asciiTheme="minorHAnsi" w:hAnsiTheme="minorHAnsi" w:cstheme="minorHAnsi"/>
          <w:i/>
        </w:rPr>
        <w:t>The Practice of English Language Teaching</w:t>
      </w:r>
      <w:r w:rsidRPr="00840230">
        <w:rPr>
          <w:rFonts w:asciiTheme="minorHAnsi" w:hAnsiTheme="minorHAnsi" w:cstheme="minorHAnsi"/>
        </w:rPr>
        <w:t>. London: Longman.</w:t>
      </w:r>
    </w:p>
    <w:p w:rsidR="00B739B9" w:rsidRPr="00C47ABC" w:rsidRDefault="00B739B9" w:rsidP="00337612">
      <w:pPr>
        <w:spacing w:line="360" w:lineRule="auto"/>
        <w:jc w:val="both"/>
        <w:rPr>
          <w:rFonts w:asciiTheme="minorHAnsi" w:hAnsiTheme="minorHAnsi" w:cstheme="minorHAnsi"/>
        </w:rPr>
      </w:pPr>
    </w:p>
    <w:sectPr w:rsidR="00B739B9" w:rsidRPr="00C47ABC" w:rsidSect="00061F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A5EDA"/>
    <w:multiLevelType w:val="hybridMultilevel"/>
    <w:tmpl w:val="F56A6A64"/>
    <w:lvl w:ilvl="0" w:tplc="3048BB1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7B0C94"/>
    <w:multiLevelType w:val="hybridMultilevel"/>
    <w:tmpl w:val="4B0EBC8A"/>
    <w:lvl w:ilvl="0" w:tplc="A2423EE6">
      <w:start w:val="1"/>
      <w:numFmt w:val="decimal"/>
      <w:lvlText w:val="%1."/>
      <w:lvlJc w:val="left"/>
      <w:pPr>
        <w:ind w:left="3260" w:hanging="360"/>
      </w:pPr>
      <w:rPr>
        <w:rFonts w:hint="default"/>
      </w:rPr>
    </w:lvl>
    <w:lvl w:ilvl="1" w:tplc="04090019" w:tentative="1">
      <w:start w:val="1"/>
      <w:numFmt w:val="lowerLetter"/>
      <w:lvlText w:val="%2."/>
      <w:lvlJc w:val="left"/>
      <w:pPr>
        <w:ind w:left="3980" w:hanging="360"/>
      </w:pPr>
    </w:lvl>
    <w:lvl w:ilvl="2" w:tplc="0409001B" w:tentative="1">
      <w:start w:val="1"/>
      <w:numFmt w:val="lowerRoman"/>
      <w:lvlText w:val="%3."/>
      <w:lvlJc w:val="right"/>
      <w:pPr>
        <w:ind w:left="4700" w:hanging="180"/>
      </w:pPr>
    </w:lvl>
    <w:lvl w:ilvl="3" w:tplc="0409000F" w:tentative="1">
      <w:start w:val="1"/>
      <w:numFmt w:val="decimal"/>
      <w:lvlText w:val="%4."/>
      <w:lvlJc w:val="left"/>
      <w:pPr>
        <w:ind w:left="5420" w:hanging="360"/>
      </w:pPr>
    </w:lvl>
    <w:lvl w:ilvl="4" w:tplc="04090019" w:tentative="1">
      <w:start w:val="1"/>
      <w:numFmt w:val="lowerLetter"/>
      <w:lvlText w:val="%5."/>
      <w:lvlJc w:val="left"/>
      <w:pPr>
        <w:ind w:left="6140" w:hanging="360"/>
      </w:pPr>
    </w:lvl>
    <w:lvl w:ilvl="5" w:tplc="0409001B" w:tentative="1">
      <w:start w:val="1"/>
      <w:numFmt w:val="lowerRoman"/>
      <w:lvlText w:val="%6."/>
      <w:lvlJc w:val="right"/>
      <w:pPr>
        <w:ind w:left="6860" w:hanging="180"/>
      </w:pPr>
    </w:lvl>
    <w:lvl w:ilvl="6" w:tplc="0409000F" w:tentative="1">
      <w:start w:val="1"/>
      <w:numFmt w:val="decimal"/>
      <w:lvlText w:val="%7."/>
      <w:lvlJc w:val="left"/>
      <w:pPr>
        <w:ind w:left="7580" w:hanging="360"/>
      </w:pPr>
    </w:lvl>
    <w:lvl w:ilvl="7" w:tplc="04090019" w:tentative="1">
      <w:start w:val="1"/>
      <w:numFmt w:val="lowerLetter"/>
      <w:lvlText w:val="%8."/>
      <w:lvlJc w:val="left"/>
      <w:pPr>
        <w:ind w:left="8300" w:hanging="360"/>
      </w:pPr>
    </w:lvl>
    <w:lvl w:ilvl="8" w:tplc="0409001B" w:tentative="1">
      <w:start w:val="1"/>
      <w:numFmt w:val="lowerRoman"/>
      <w:lvlText w:val="%9."/>
      <w:lvlJc w:val="right"/>
      <w:pPr>
        <w:ind w:left="90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739B9"/>
    <w:rsid w:val="00061F9C"/>
    <w:rsid w:val="000A39EC"/>
    <w:rsid w:val="00102172"/>
    <w:rsid w:val="002872CC"/>
    <w:rsid w:val="0029628A"/>
    <w:rsid w:val="00337612"/>
    <w:rsid w:val="00525048"/>
    <w:rsid w:val="00673730"/>
    <w:rsid w:val="006D2748"/>
    <w:rsid w:val="007C543E"/>
    <w:rsid w:val="00840230"/>
    <w:rsid w:val="008B0B72"/>
    <w:rsid w:val="008B34BB"/>
    <w:rsid w:val="00980987"/>
    <w:rsid w:val="00AA27E2"/>
    <w:rsid w:val="00AB5FE9"/>
    <w:rsid w:val="00B739B9"/>
    <w:rsid w:val="00C47ABC"/>
    <w:rsid w:val="00D402FE"/>
    <w:rsid w:val="00D45374"/>
    <w:rsid w:val="00EA7CF4"/>
    <w:rsid w:val="00EF3F28"/>
    <w:rsid w:val="00FA58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9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39B9"/>
    <w:rPr>
      <w:color w:val="0000FF" w:themeColor="hyperlink"/>
      <w:u w:val="single"/>
    </w:rPr>
  </w:style>
  <w:style w:type="paragraph" w:styleId="BalloonText">
    <w:name w:val="Balloon Text"/>
    <w:basedOn w:val="Normal"/>
    <w:link w:val="BalloonTextChar"/>
    <w:uiPriority w:val="99"/>
    <w:semiHidden/>
    <w:unhideWhenUsed/>
    <w:rsid w:val="00D45374"/>
    <w:rPr>
      <w:rFonts w:ascii="Tahoma" w:hAnsi="Tahoma" w:cs="Tahoma"/>
      <w:sz w:val="16"/>
      <w:szCs w:val="16"/>
    </w:rPr>
  </w:style>
  <w:style w:type="character" w:customStyle="1" w:styleId="BalloonTextChar">
    <w:name w:val="Balloon Text Char"/>
    <w:basedOn w:val="DefaultParagraphFont"/>
    <w:link w:val="BalloonText"/>
    <w:uiPriority w:val="99"/>
    <w:semiHidden/>
    <w:rsid w:val="00D45374"/>
    <w:rPr>
      <w:rFonts w:ascii="Tahoma" w:eastAsia="Times New Roman" w:hAnsi="Tahoma" w:cs="Tahoma"/>
      <w:sz w:val="16"/>
      <w:szCs w:val="16"/>
    </w:rPr>
  </w:style>
  <w:style w:type="paragraph" w:styleId="ListParagraph">
    <w:name w:val="List Paragraph"/>
    <w:basedOn w:val="Normal"/>
    <w:uiPriority w:val="34"/>
    <w:qFormat/>
    <w:rsid w:val="00D45374"/>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8B34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risiyati@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YUNIA</cp:lastModifiedBy>
  <cp:revision>8</cp:revision>
  <dcterms:created xsi:type="dcterms:W3CDTF">2013-09-08T14:31:00Z</dcterms:created>
  <dcterms:modified xsi:type="dcterms:W3CDTF">2013-09-21T02:13:00Z</dcterms:modified>
</cp:coreProperties>
</file>